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AB3C" w14:textId="2171DF30" w:rsidR="0075455D" w:rsidRDefault="0075455D" w:rsidP="00E12F22">
      <w:pPr>
        <w:pStyle w:val="Title"/>
        <w:jc w:val="center"/>
      </w:pPr>
      <w:bookmarkStart w:id="0" w:name="_GoBack"/>
      <w:bookmarkEnd w:id="0"/>
    </w:p>
    <w:p w14:paraId="08A3D7EB" w14:textId="77777777" w:rsidR="0075455D" w:rsidRDefault="0075455D" w:rsidP="00E12F22">
      <w:pPr>
        <w:pStyle w:val="Title"/>
        <w:jc w:val="center"/>
      </w:pPr>
    </w:p>
    <w:p w14:paraId="4236EA68" w14:textId="77777777" w:rsidR="0075455D" w:rsidRDefault="0075455D" w:rsidP="00E12F22">
      <w:pPr>
        <w:pStyle w:val="Title"/>
        <w:jc w:val="center"/>
      </w:pPr>
    </w:p>
    <w:p w14:paraId="49C75E76" w14:textId="77777777" w:rsidR="0075455D" w:rsidRPr="00C21316" w:rsidRDefault="0075455D" w:rsidP="00E12F22">
      <w:pPr>
        <w:pStyle w:val="Title"/>
        <w:jc w:val="center"/>
        <w:rPr>
          <w:b/>
        </w:rPr>
      </w:pPr>
    </w:p>
    <w:p w14:paraId="6E3D8D61" w14:textId="57958537" w:rsidR="000730E2" w:rsidRDefault="00630EA9" w:rsidP="003B6BF3">
      <w:pPr>
        <w:pStyle w:val="Title"/>
        <w:jc w:val="center"/>
        <w:rPr>
          <w:b/>
        </w:rPr>
      </w:pPr>
      <w:r w:rsidRPr="00C21316">
        <w:rPr>
          <w:b/>
        </w:rPr>
        <w:t>Summary of Information</w:t>
      </w:r>
      <w:r w:rsidR="0002437D">
        <w:rPr>
          <w:b/>
        </w:rPr>
        <w:t xml:space="preserve">: </w:t>
      </w:r>
    </w:p>
    <w:p w14:paraId="26EAAEEA" w14:textId="4F2305A8" w:rsidR="00630EA9" w:rsidRPr="00C21316" w:rsidRDefault="0002437D" w:rsidP="003B6BF3">
      <w:pPr>
        <w:pStyle w:val="Title"/>
        <w:jc w:val="center"/>
        <w:rPr>
          <w:b/>
        </w:rPr>
      </w:pPr>
      <w:r>
        <w:rPr>
          <w:b/>
        </w:rPr>
        <w:t>H</w:t>
      </w:r>
      <w:r w:rsidR="003B6BF3" w:rsidRPr="003B6BF3">
        <w:rPr>
          <w:b/>
        </w:rPr>
        <w:t xml:space="preserve">ow safeguards for REDD+ </w:t>
      </w:r>
      <w:r>
        <w:rPr>
          <w:b/>
        </w:rPr>
        <w:t>are being</w:t>
      </w:r>
      <w:r w:rsidR="003B6BF3" w:rsidRPr="003B6BF3">
        <w:rPr>
          <w:b/>
        </w:rPr>
        <w:t xml:space="preserve"> addressed and respected</w:t>
      </w:r>
      <w:r w:rsidR="003B6BF3" w:rsidRPr="00C21316">
        <w:rPr>
          <w:b/>
        </w:rPr>
        <w:t xml:space="preserve"> in </w:t>
      </w:r>
      <w:r w:rsidR="002B3540" w:rsidRPr="00C21316">
        <w:rPr>
          <w:b/>
        </w:rPr>
        <w:t>Ghana</w:t>
      </w:r>
    </w:p>
    <w:p w14:paraId="3D3E88D9" w14:textId="2314CD31" w:rsidR="0075455D" w:rsidRDefault="0075455D" w:rsidP="00E12F22"/>
    <w:p w14:paraId="7010A65E" w14:textId="77777777" w:rsidR="0075455D" w:rsidRPr="0075455D" w:rsidRDefault="0075455D" w:rsidP="00E12F22"/>
    <w:p w14:paraId="7BA1FE6E" w14:textId="02BC4D70" w:rsidR="0075455D" w:rsidRDefault="0075455D" w:rsidP="00E12F22"/>
    <w:p w14:paraId="0CF37DA2" w14:textId="74276F51" w:rsidR="0075455D" w:rsidRDefault="0075455D" w:rsidP="00E12F22"/>
    <w:p w14:paraId="27E6617E" w14:textId="77777777" w:rsidR="0075455D" w:rsidRPr="0075455D" w:rsidRDefault="0075455D" w:rsidP="00E12F22"/>
    <w:p w14:paraId="144510D1" w14:textId="77777777" w:rsidR="00630EA9" w:rsidRDefault="00630EA9" w:rsidP="00630EA9"/>
    <w:p w14:paraId="3A18528B" w14:textId="64367A8E" w:rsidR="0075455D" w:rsidRDefault="0075455D" w:rsidP="00630EA9">
      <w:pPr>
        <w:sectPr w:rsidR="0075455D" w:rsidSect="00847229">
          <w:footerReference w:type="even" r:id="rId8"/>
          <w:footerReference w:type="default" r:id="rId9"/>
          <w:pgSz w:w="11900" w:h="16840"/>
          <w:pgMar w:top="1440" w:right="1440" w:bottom="1440" w:left="1440" w:header="720" w:footer="720" w:gutter="0"/>
          <w:cols w:space="720"/>
          <w:docGrid w:linePitch="360"/>
        </w:sectPr>
      </w:pPr>
    </w:p>
    <w:sdt>
      <w:sdtPr>
        <w:rPr>
          <w:rFonts w:asciiTheme="minorHAnsi" w:eastAsiaTheme="minorHAnsi" w:hAnsiTheme="minorHAnsi" w:cstheme="minorBidi"/>
          <w:b w:val="0"/>
          <w:bCs w:val="0"/>
          <w:color w:val="auto"/>
          <w:sz w:val="22"/>
          <w:szCs w:val="24"/>
        </w:rPr>
        <w:id w:val="-1819408080"/>
        <w:docPartObj>
          <w:docPartGallery w:val="Table of Contents"/>
          <w:docPartUnique/>
        </w:docPartObj>
      </w:sdtPr>
      <w:sdtEndPr>
        <w:rPr>
          <w:noProof/>
        </w:rPr>
      </w:sdtEndPr>
      <w:sdtContent>
        <w:p w14:paraId="6F14A087" w14:textId="2A71AF1D" w:rsidR="0075455D" w:rsidRDefault="0075455D">
          <w:pPr>
            <w:pStyle w:val="TOCHeading"/>
          </w:pPr>
          <w:r>
            <w:t>Table of Contents</w:t>
          </w:r>
        </w:p>
        <w:p w14:paraId="57BAAD5A" w14:textId="6FC7BDBB" w:rsidR="00CD0B8A" w:rsidRDefault="0075455D">
          <w:pPr>
            <w:pStyle w:val="TOC1"/>
            <w:tabs>
              <w:tab w:val="right" w:leader="dot" w:pos="9010"/>
            </w:tabs>
            <w:rPr>
              <w:rFonts w:eastAsiaTheme="minorEastAsia"/>
              <w:b w:val="0"/>
              <w:bCs w:val="0"/>
              <w:i w:val="0"/>
              <w:iCs w:val="0"/>
              <w:noProof/>
              <w:sz w:val="22"/>
              <w:szCs w:val="22"/>
              <w:lang w:eastAsia="en-GB" w:bidi="he-IL"/>
            </w:rPr>
          </w:pPr>
          <w:r>
            <w:rPr>
              <w:b w:val="0"/>
              <w:bCs w:val="0"/>
            </w:rPr>
            <w:fldChar w:fldCharType="begin"/>
          </w:r>
          <w:r>
            <w:instrText xml:space="preserve"> TOC \o "1-3" \h \z \u </w:instrText>
          </w:r>
          <w:r>
            <w:rPr>
              <w:b w:val="0"/>
              <w:bCs w:val="0"/>
            </w:rPr>
            <w:fldChar w:fldCharType="separate"/>
          </w:r>
          <w:hyperlink w:anchor="_Toc523385918" w:history="1">
            <w:r w:rsidR="00CD0B8A" w:rsidRPr="00A66F78">
              <w:rPr>
                <w:rStyle w:val="Hyperlink"/>
                <w:noProof/>
              </w:rPr>
              <w:t>Objective and scope</w:t>
            </w:r>
            <w:r w:rsidR="00CD0B8A">
              <w:rPr>
                <w:noProof/>
                <w:webHidden/>
              </w:rPr>
              <w:tab/>
            </w:r>
            <w:r w:rsidR="00CD0B8A">
              <w:rPr>
                <w:noProof/>
                <w:webHidden/>
              </w:rPr>
              <w:fldChar w:fldCharType="begin"/>
            </w:r>
            <w:r w:rsidR="00CD0B8A">
              <w:rPr>
                <w:noProof/>
                <w:webHidden/>
              </w:rPr>
              <w:instrText xml:space="preserve"> PAGEREF _Toc523385918 \h </w:instrText>
            </w:r>
            <w:r w:rsidR="00CD0B8A">
              <w:rPr>
                <w:noProof/>
                <w:webHidden/>
              </w:rPr>
            </w:r>
            <w:r w:rsidR="00CD0B8A">
              <w:rPr>
                <w:noProof/>
                <w:webHidden/>
              </w:rPr>
              <w:fldChar w:fldCharType="separate"/>
            </w:r>
            <w:r w:rsidR="009A629F">
              <w:rPr>
                <w:noProof/>
                <w:webHidden/>
              </w:rPr>
              <w:t>3</w:t>
            </w:r>
            <w:r w:rsidR="00CD0B8A">
              <w:rPr>
                <w:noProof/>
                <w:webHidden/>
              </w:rPr>
              <w:fldChar w:fldCharType="end"/>
            </w:r>
          </w:hyperlink>
        </w:p>
        <w:p w14:paraId="2F992772" w14:textId="05B8A683" w:rsidR="00CD0B8A" w:rsidRDefault="0004051C">
          <w:pPr>
            <w:pStyle w:val="TOC1"/>
            <w:tabs>
              <w:tab w:val="right" w:leader="dot" w:pos="9010"/>
            </w:tabs>
            <w:rPr>
              <w:rFonts w:eastAsiaTheme="minorEastAsia"/>
              <w:b w:val="0"/>
              <w:bCs w:val="0"/>
              <w:i w:val="0"/>
              <w:iCs w:val="0"/>
              <w:noProof/>
              <w:sz w:val="22"/>
              <w:szCs w:val="22"/>
              <w:lang w:eastAsia="en-GB" w:bidi="he-IL"/>
            </w:rPr>
          </w:pPr>
          <w:hyperlink w:anchor="_Toc523385919" w:history="1">
            <w:r w:rsidR="00CD0B8A" w:rsidRPr="00A66F78">
              <w:rPr>
                <w:rStyle w:val="Hyperlink"/>
                <w:rFonts w:eastAsia="Calibri"/>
                <w:noProof/>
              </w:rPr>
              <w:t>Part I: Introduction</w:t>
            </w:r>
            <w:r w:rsidR="00CD0B8A">
              <w:rPr>
                <w:noProof/>
                <w:webHidden/>
              </w:rPr>
              <w:tab/>
            </w:r>
            <w:r w:rsidR="00CD0B8A">
              <w:rPr>
                <w:noProof/>
                <w:webHidden/>
              </w:rPr>
              <w:fldChar w:fldCharType="begin"/>
            </w:r>
            <w:r w:rsidR="00CD0B8A">
              <w:rPr>
                <w:noProof/>
                <w:webHidden/>
              </w:rPr>
              <w:instrText xml:space="preserve"> PAGEREF _Toc523385919 \h </w:instrText>
            </w:r>
            <w:r w:rsidR="00CD0B8A">
              <w:rPr>
                <w:noProof/>
                <w:webHidden/>
              </w:rPr>
            </w:r>
            <w:r w:rsidR="00CD0B8A">
              <w:rPr>
                <w:noProof/>
                <w:webHidden/>
              </w:rPr>
              <w:fldChar w:fldCharType="separate"/>
            </w:r>
            <w:r w:rsidR="009A629F">
              <w:rPr>
                <w:noProof/>
                <w:webHidden/>
              </w:rPr>
              <w:t>5</w:t>
            </w:r>
            <w:r w:rsidR="00CD0B8A">
              <w:rPr>
                <w:noProof/>
                <w:webHidden/>
              </w:rPr>
              <w:fldChar w:fldCharType="end"/>
            </w:r>
          </w:hyperlink>
        </w:p>
        <w:p w14:paraId="218AFA69" w14:textId="3D8278B2" w:rsidR="00CD0B8A" w:rsidRDefault="0004051C">
          <w:pPr>
            <w:pStyle w:val="TOC2"/>
            <w:tabs>
              <w:tab w:val="right" w:leader="dot" w:pos="9010"/>
            </w:tabs>
            <w:rPr>
              <w:rFonts w:eastAsiaTheme="minorEastAsia"/>
              <w:b w:val="0"/>
              <w:bCs w:val="0"/>
              <w:noProof/>
              <w:lang w:eastAsia="en-GB" w:bidi="he-IL"/>
            </w:rPr>
          </w:pPr>
          <w:hyperlink w:anchor="_Toc523385920" w:history="1">
            <w:r w:rsidR="00CD0B8A" w:rsidRPr="00A66F78">
              <w:rPr>
                <w:rStyle w:val="Hyperlink"/>
                <w:rFonts w:eastAsia="Calibri"/>
                <w:noProof/>
              </w:rPr>
              <w:t xml:space="preserve">Overview of Ghana REDD+ Strategy  </w:t>
            </w:r>
            <w:r w:rsidR="00CD0B8A">
              <w:rPr>
                <w:noProof/>
                <w:webHidden/>
              </w:rPr>
              <w:tab/>
            </w:r>
            <w:r w:rsidR="00CD0B8A">
              <w:rPr>
                <w:noProof/>
                <w:webHidden/>
              </w:rPr>
              <w:fldChar w:fldCharType="begin"/>
            </w:r>
            <w:r w:rsidR="00CD0B8A">
              <w:rPr>
                <w:noProof/>
                <w:webHidden/>
              </w:rPr>
              <w:instrText xml:space="preserve"> PAGEREF _Toc523385920 \h </w:instrText>
            </w:r>
            <w:r w:rsidR="00CD0B8A">
              <w:rPr>
                <w:noProof/>
                <w:webHidden/>
              </w:rPr>
            </w:r>
            <w:r w:rsidR="00CD0B8A">
              <w:rPr>
                <w:noProof/>
                <w:webHidden/>
              </w:rPr>
              <w:fldChar w:fldCharType="separate"/>
            </w:r>
            <w:r w:rsidR="009A629F">
              <w:rPr>
                <w:noProof/>
                <w:webHidden/>
              </w:rPr>
              <w:t>5</w:t>
            </w:r>
            <w:r w:rsidR="00CD0B8A">
              <w:rPr>
                <w:noProof/>
                <w:webHidden/>
              </w:rPr>
              <w:fldChar w:fldCharType="end"/>
            </w:r>
          </w:hyperlink>
        </w:p>
        <w:p w14:paraId="6BB5583F" w14:textId="18320998" w:rsidR="00CD0B8A" w:rsidRDefault="0004051C">
          <w:pPr>
            <w:pStyle w:val="TOC2"/>
            <w:tabs>
              <w:tab w:val="right" w:leader="dot" w:pos="9010"/>
            </w:tabs>
            <w:rPr>
              <w:rFonts w:eastAsiaTheme="minorEastAsia"/>
              <w:b w:val="0"/>
              <w:bCs w:val="0"/>
              <w:noProof/>
              <w:lang w:eastAsia="en-GB" w:bidi="he-IL"/>
            </w:rPr>
          </w:pPr>
          <w:hyperlink w:anchor="_Toc523385921" w:history="1">
            <w:r w:rsidR="00CD0B8A" w:rsidRPr="00A66F78">
              <w:rPr>
                <w:rStyle w:val="Hyperlink"/>
                <w:noProof/>
              </w:rPr>
              <w:t>Ghana Cocoa-Forest REDD+ Program (GCFRP)</w:t>
            </w:r>
            <w:r w:rsidR="00CD0B8A">
              <w:rPr>
                <w:noProof/>
                <w:webHidden/>
              </w:rPr>
              <w:tab/>
            </w:r>
            <w:r w:rsidR="00CD0B8A">
              <w:rPr>
                <w:noProof/>
                <w:webHidden/>
              </w:rPr>
              <w:fldChar w:fldCharType="begin"/>
            </w:r>
            <w:r w:rsidR="00CD0B8A">
              <w:rPr>
                <w:noProof/>
                <w:webHidden/>
              </w:rPr>
              <w:instrText xml:space="preserve"> PAGEREF _Toc523385921 \h </w:instrText>
            </w:r>
            <w:r w:rsidR="00CD0B8A">
              <w:rPr>
                <w:noProof/>
                <w:webHidden/>
              </w:rPr>
            </w:r>
            <w:r w:rsidR="00CD0B8A">
              <w:rPr>
                <w:noProof/>
                <w:webHidden/>
              </w:rPr>
              <w:fldChar w:fldCharType="separate"/>
            </w:r>
            <w:r w:rsidR="009A629F">
              <w:rPr>
                <w:noProof/>
                <w:webHidden/>
              </w:rPr>
              <w:t>7</w:t>
            </w:r>
            <w:r w:rsidR="00CD0B8A">
              <w:rPr>
                <w:noProof/>
                <w:webHidden/>
              </w:rPr>
              <w:fldChar w:fldCharType="end"/>
            </w:r>
          </w:hyperlink>
        </w:p>
        <w:p w14:paraId="27075B61" w14:textId="14680093" w:rsidR="00CD0B8A" w:rsidRDefault="0004051C">
          <w:pPr>
            <w:pStyle w:val="TOC1"/>
            <w:tabs>
              <w:tab w:val="right" w:leader="dot" w:pos="9010"/>
            </w:tabs>
            <w:rPr>
              <w:rFonts w:eastAsiaTheme="minorEastAsia"/>
              <w:b w:val="0"/>
              <w:bCs w:val="0"/>
              <w:i w:val="0"/>
              <w:iCs w:val="0"/>
              <w:noProof/>
              <w:sz w:val="22"/>
              <w:szCs w:val="22"/>
              <w:lang w:eastAsia="en-GB" w:bidi="he-IL"/>
            </w:rPr>
          </w:pPr>
          <w:hyperlink w:anchor="_Toc523385922" w:history="1">
            <w:r w:rsidR="00CD0B8A" w:rsidRPr="00A66F78">
              <w:rPr>
                <w:rStyle w:val="Hyperlink"/>
                <w:noProof/>
              </w:rPr>
              <w:t>Part II: National circumstances and REDD+ Safeguards Approach</w:t>
            </w:r>
            <w:r w:rsidR="00CD0B8A">
              <w:rPr>
                <w:noProof/>
                <w:webHidden/>
              </w:rPr>
              <w:tab/>
            </w:r>
            <w:r w:rsidR="00CD0B8A">
              <w:rPr>
                <w:noProof/>
                <w:webHidden/>
              </w:rPr>
              <w:fldChar w:fldCharType="begin"/>
            </w:r>
            <w:r w:rsidR="00CD0B8A">
              <w:rPr>
                <w:noProof/>
                <w:webHidden/>
              </w:rPr>
              <w:instrText xml:space="preserve"> PAGEREF _Toc523385922 \h </w:instrText>
            </w:r>
            <w:r w:rsidR="00CD0B8A">
              <w:rPr>
                <w:noProof/>
                <w:webHidden/>
              </w:rPr>
            </w:r>
            <w:r w:rsidR="00CD0B8A">
              <w:rPr>
                <w:noProof/>
                <w:webHidden/>
              </w:rPr>
              <w:fldChar w:fldCharType="separate"/>
            </w:r>
            <w:r w:rsidR="009A629F">
              <w:rPr>
                <w:noProof/>
                <w:webHidden/>
              </w:rPr>
              <w:t>11</w:t>
            </w:r>
            <w:r w:rsidR="00CD0B8A">
              <w:rPr>
                <w:noProof/>
                <w:webHidden/>
              </w:rPr>
              <w:fldChar w:fldCharType="end"/>
            </w:r>
          </w:hyperlink>
        </w:p>
        <w:p w14:paraId="604960B1" w14:textId="7FF9B275" w:rsidR="00CD0B8A" w:rsidRDefault="0004051C">
          <w:pPr>
            <w:pStyle w:val="TOC2"/>
            <w:tabs>
              <w:tab w:val="right" w:leader="dot" w:pos="9010"/>
            </w:tabs>
            <w:rPr>
              <w:rFonts w:eastAsiaTheme="minorEastAsia"/>
              <w:b w:val="0"/>
              <w:bCs w:val="0"/>
              <w:noProof/>
              <w:lang w:eastAsia="en-GB" w:bidi="he-IL"/>
            </w:rPr>
          </w:pPr>
          <w:hyperlink w:anchor="_Toc523385923" w:history="1">
            <w:r w:rsidR="00CD0B8A" w:rsidRPr="00A66F78">
              <w:rPr>
                <w:rStyle w:val="Hyperlink"/>
                <w:rFonts w:eastAsia="Calibri"/>
                <w:noProof/>
              </w:rPr>
              <w:t>Activities carried out by Ghana to meet UNFCCC and Forest Carbon Partnership Facility (FCPF) REDD+ safeguard requirements.</w:t>
            </w:r>
            <w:r w:rsidR="00CD0B8A">
              <w:rPr>
                <w:noProof/>
                <w:webHidden/>
              </w:rPr>
              <w:tab/>
            </w:r>
            <w:r w:rsidR="00CD0B8A">
              <w:rPr>
                <w:noProof/>
                <w:webHidden/>
              </w:rPr>
              <w:fldChar w:fldCharType="begin"/>
            </w:r>
            <w:r w:rsidR="00CD0B8A">
              <w:rPr>
                <w:noProof/>
                <w:webHidden/>
              </w:rPr>
              <w:instrText xml:space="preserve"> PAGEREF _Toc523385923 \h </w:instrText>
            </w:r>
            <w:r w:rsidR="00CD0B8A">
              <w:rPr>
                <w:noProof/>
                <w:webHidden/>
              </w:rPr>
            </w:r>
            <w:r w:rsidR="00CD0B8A">
              <w:rPr>
                <w:noProof/>
                <w:webHidden/>
              </w:rPr>
              <w:fldChar w:fldCharType="separate"/>
            </w:r>
            <w:r w:rsidR="009A629F">
              <w:rPr>
                <w:noProof/>
                <w:webHidden/>
              </w:rPr>
              <w:t>11</w:t>
            </w:r>
            <w:r w:rsidR="00CD0B8A">
              <w:rPr>
                <w:noProof/>
                <w:webHidden/>
              </w:rPr>
              <w:fldChar w:fldCharType="end"/>
            </w:r>
          </w:hyperlink>
        </w:p>
        <w:p w14:paraId="7A0F58F0" w14:textId="1B1B7648" w:rsidR="00CD0B8A" w:rsidRDefault="0004051C">
          <w:pPr>
            <w:pStyle w:val="TOC2"/>
            <w:tabs>
              <w:tab w:val="right" w:leader="dot" w:pos="9010"/>
            </w:tabs>
            <w:rPr>
              <w:rFonts w:eastAsiaTheme="minorEastAsia"/>
              <w:b w:val="0"/>
              <w:bCs w:val="0"/>
              <w:noProof/>
              <w:lang w:eastAsia="en-GB" w:bidi="he-IL"/>
            </w:rPr>
          </w:pPr>
          <w:hyperlink w:anchor="_Toc523385924" w:history="1">
            <w:r w:rsidR="00CD0B8A" w:rsidRPr="00A66F78">
              <w:rPr>
                <w:rStyle w:val="Hyperlink"/>
                <w:noProof/>
              </w:rPr>
              <w:t>Interpretation of the Cancun safeguards in accordance with the country context, including the components/elements identified for each of the Cancun safeguards</w:t>
            </w:r>
            <w:r w:rsidR="00CD0B8A">
              <w:rPr>
                <w:noProof/>
                <w:webHidden/>
              </w:rPr>
              <w:tab/>
            </w:r>
            <w:r w:rsidR="00CD0B8A">
              <w:rPr>
                <w:noProof/>
                <w:webHidden/>
              </w:rPr>
              <w:fldChar w:fldCharType="begin"/>
            </w:r>
            <w:r w:rsidR="00CD0B8A">
              <w:rPr>
                <w:noProof/>
                <w:webHidden/>
              </w:rPr>
              <w:instrText xml:space="preserve"> PAGEREF _Toc523385924 \h </w:instrText>
            </w:r>
            <w:r w:rsidR="00CD0B8A">
              <w:rPr>
                <w:noProof/>
                <w:webHidden/>
              </w:rPr>
            </w:r>
            <w:r w:rsidR="00CD0B8A">
              <w:rPr>
                <w:noProof/>
                <w:webHidden/>
              </w:rPr>
              <w:fldChar w:fldCharType="separate"/>
            </w:r>
            <w:r w:rsidR="009A629F">
              <w:rPr>
                <w:noProof/>
                <w:webHidden/>
              </w:rPr>
              <w:t>14</w:t>
            </w:r>
            <w:r w:rsidR="00CD0B8A">
              <w:rPr>
                <w:noProof/>
                <w:webHidden/>
              </w:rPr>
              <w:fldChar w:fldCharType="end"/>
            </w:r>
          </w:hyperlink>
        </w:p>
        <w:p w14:paraId="39D3EBF2" w14:textId="78E5A96E" w:rsidR="00CD0B8A" w:rsidRDefault="0004051C">
          <w:pPr>
            <w:pStyle w:val="TOC2"/>
            <w:tabs>
              <w:tab w:val="right" w:leader="dot" w:pos="9010"/>
            </w:tabs>
            <w:rPr>
              <w:rFonts w:eastAsiaTheme="minorEastAsia"/>
              <w:b w:val="0"/>
              <w:bCs w:val="0"/>
              <w:noProof/>
              <w:lang w:eastAsia="en-GB" w:bidi="he-IL"/>
            </w:rPr>
          </w:pPr>
          <w:hyperlink w:anchor="_Toc523385925" w:history="1">
            <w:r w:rsidR="00CD0B8A" w:rsidRPr="00A66F78">
              <w:rPr>
                <w:rStyle w:val="Hyperlink"/>
                <w:noProof/>
              </w:rPr>
              <w:t>Clarification of the Cancun Safeguards</w:t>
            </w:r>
            <w:r w:rsidR="00CD0B8A">
              <w:rPr>
                <w:noProof/>
                <w:webHidden/>
              </w:rPr>
              <w:tab/>
            </w:r>
            <w:r w:rsidR="00CD0B8A">
              <w:rPr>
                <w:noProof/>
                <w:webHidden/>
              </w:rPr>
              <w:fldChar w:fldCharType="begin"/>
            </w:r>
            <w:r w:rsidR="00CD0B8A">
              <w:rPr>
                <w:noProof/>
                <w:webHidden/>
              </w:rPr>
              <w:instrText xml:space="preserve"> PAGEREF _Toc523385925 \h </w:instrText>
            </w:r>
            <w:r w:rsidR="00CD0B8A">
              <w:rPr>
                <w:noProof/>
                <w:webHidden/>
              </w:rPr>
            </w:r>
            <w:r w:rsidR="00CD0B8A">
              <w:rPr>
                <w:noProof/>
                <w:webHidden/>
              </w:rPr>
              <w:fldChar w:fldCharType="separate"/>
            </w:r>
            <w:r w:rsidR="009A629F">
              <w:rPr>
                <w:b w:val="0"/>
                <w:bCs w:val="0"/>
                <w:noProof/>
                <w:webHidden/>
                <w:lang w:val="en-US"/>
              </w:rPr>
              <w:t>Error! Bookmark not defined.</w:t>
            </w:r>
            <w:r w:rsidR="00CD0B8A">
              <w:rPr>
                <w:noProof/>
                <w:webHidden/>
              </w:rPr>
              <w:fldChar w:fldCharType="end"/>
            </w:r>
          </w:hyperlink>
        </w:p>
        <w:p w14:paraId="120F6707" w14:textId="61F21528" w:rsidR="00CD0B8A" w:rsidRDefault="0004051C">
          <w:pPr>
            <w:pStyle w:val="TOC3"/>
            <w:tabs>
              <w:tab w:val="right" w:leader="dot" w:pos="9010"/>
            </w:tabs>
            <w:rPr>
              <w:rFonts w:eastAsiaTheme="minorEastAsia"/>
              <w:noProof/>
              <w:sz w:val="22"/>
              <w:szCs w:val="22"/>
              <w:lang w:eastAsia="en-GB" w:bidi="he-IL"/>
            </w:rPr>
          </w:pPr>
          <w:hyperlink w:anchor="_Toc523385926" w:history="1">
            <w:r w:rsidR="00CD0B8A" w:rsidRPr="00A66F78">
              <w:rPr>
                <w:rStyle w:val="Hyperlink"/>
                <w:noProof/>
              </w:rPr>
              <w:t>Key terms for Safeguard (a)</w:t>
            </w:r>
            <w:r w:rsidR="00CD0B8A">
              <w:rPr>
                <w:noProof/>
                <w:webHidden/>
              </w:rPr>
              <w:tab/>
            </w:r>
            <w:r w:rsidR="00CD0B8A">
              <w:rPr>
                <w:noProof/>
                <w:webHidden/>
              </w:rPr>
              <w:fldChar w:fldCharType="begin"/>
            </w:r>
            <w:r w:rsidR="00CD0B8A">
              <w:rPr>
                <w:noProof/>
                <w:webHidden/>
              </w:rPr>
              <w:instrText xml:space="preserve"> PAGEREF _Toc523385926 \h </w:instrText>
            </w:r>
            <w:r w:rsidR="00CD0B8A">
              <w:rPr>
                <w:noProof/>
                <w:webHidden/>
              </w:rPr>
            </w:r>
            <w:r w:rsidR="00CD0B8A">
              <w:rPr>
                <w:noProof/>
                <w:webHidden/>
              </w:rPr>
              <w:fldChar w:fldCharType="separate"/>
            </w:r>
            <w:r w:rsidR="009A629F">
              <w:rPr>
                <w:b/>
                <w:bCs/>
                <w:noProof/>
                <w:webHidden/>
                <w:lang w:val="en-US"/>
              </w:rPr>
              <w:t>Error! Bookmark not defined.</w:t>
            </w:r>
            <w:r w:rsidR="00CD0B8A">
              <w:rPr>
                <w:noProof/>
                <w:webHidden/>
              </w:rPr>
              <w:fldChar w:fldCharType="end"/>
            </w:r>
          </w:hyperlink>
        </w:p>
        <w:p w14:paraId="73F02F49" w14:textId="1AD1A420" w:rsidR="00CD0B8A" w:rsidRDefault="0004051C">
          <w:pPr>
            <w:pStyle w:val="TOC3"/>
            <w:tabs>
              <w:tab w:val="right" w:leader="dot" w:pos="9010"/>
            </w:tabs>
            <w:rPr>
              <w:rFonts w:eastAsiaTheme="minorEastAsia"/>
              <w:noProof/>
              <w:sz w:val="22"/>
              <w:szCs w:val="22"/>
              <w:lang w:eastAsia="en-GB" w:bidi="he-IL"/>
            </w:rPr>
          </w:pPr>
          <w:hyperlink w:anchor="_Toc523385927" w:history="1">
            <w:r w:rsidR="00CD0B8A" w:rsidRPr="00A66F78">
              <w:rPr>
                <w:rStyle w:val="Hyperlink"/>
                <w:noProof/>
              </w:rPr>
              <w:t>Key terms of Safeguard (b)</w:t>
            </w:r>
            <w:r w:rsidR="00CD0B8A">
              <w:rPr>
                <w:noProof/>
                <w:webHidden/>
              </w:rPr>
              <w:tab/>
            </w:r>
            <w:r w:rsidR="00CD0B8A">
              <w:rPr>
                <w:noProof/>
                <w:webHidden/>
              </w:rPr>
              <w:fldChar w:fldCharType="begin"/>
            </w:r>
            <w:r w:rsidR="00CD0B8A">
              <w:rPr>
                <w:noProof/>
                <w:webHidden/>
              </w:rPr>
              <w:instrText xml:space="preserve"> PAGEREF _Toc523385927 \h </w:instrText>
            </w:r>
            <w:r w:rsidR="00CD0B8A">
              <w:rPr>
                <w:noProof/>
                <w:webHidden/>
              </w:rPr>
            </w:r>
            <w:r w:rsidR="00CD0B8A">
              <w:rPr>
                <w:noProof/>
                <w:webHidden/>
              </w:rPr>
              <w:fldChar w:fldCharType="separate"/>
            </w:r>
            <w:r w:rsidR="009A629F">
              <w:rPr>
                <w:b/>
                <w:bCs/>
                <w:noProof/>
                <w:webHidden/>
                <w:lang w:val="en-US"/>
              </w:rPr>
              <w:t>Error! Bookmark not defined.</w:t>
            </w:r>
            <w:r w:rsidR="00CD0B8A">
              <w:rPr>
                <w:noProof/>
                <w:webHidden/>
              </w:rPr>
              <w:fldChar w:fldCharType="end"/>
            </w:r>
          </w:hyperlink>
        </w:p>
        <w:p w14:paraId="6053091D" w14:textId="5ABF0063" w:rsidR="00CD0B8A" w:rsidRDefault="0004051C">
          <w:pPr>
            <w:pStyle w:val="TOC3"/>
            <w:tabs>
              <w:tab w:val="right" w:leader="dot" w:pos="9010"/>
            </w:tabs>
            <w:rPr>
              <w:rFonts w:eastAsiaTheme="minorEastAsia"/>
              <w:noProof/>
              <w:sz w:val="22"/>
              <w:szCs w:val="22"/>
              <w:lang w:eastAsia="en-GB" w:bidi="he-IL"/>
            </w:rPr>
          </w:pPr>
          <w:hyperlink w:anchor="_Toc523385928" w:history="1">
            <w:r w:rsidR="00CD0B8A" w:rsidRPr="00A66F78">
              <w:rPr>
                <w:rStyle w:val="Hyperlink"/>
                <w:noProof/>
              </w:rPr>
              <w:t>Key terms of Safeguard (c)</w:t>
            </w:r>
            <w:r w:rsidR="00CD0B8A">
              <w:rPr>
                <w:noProof/>
                <w:webHidden/>
              </w:rPr>
              <w:tab/>
            </w:r>
            <w:r w:rsidR="00CD0B8A">
              <w:rPr>
                <w:noProof/>
                <w:webHidden/>
              </w:rPr>
              <w:fldChar w:fldCharType="begin"/>
            </w:r>
            <w:r w:rsidR="00CD0B8A">
              <w:rPr>
                <w:noProof/>
                <w:webHidden/>
              </w:rPr>
              <w:instrText xml:space="preserve"> PAGEREF _Toc523385928 \h </w:instrText>
            </w:r>
            <w:r w:rsidR="00CD0B8A">
              <w:rPr>
                <w:noProof/>
                <w:webHidden/>
              </w:rPr>
            </w:r>
            <w:r w:rsidR="00CD0B8A">
              <w:rPr>
                <w:noProof/>
                <w:webHidden/>
              </w:rPr>
              <w:fldChar w:fldCharType="separate"/>
            </w:r>
            <w:r w:rsidR="009A629F">
              <w:rPr>
                <w:b/>
                <w:bCs/>
                <w:noProof/>
                <w:webHidden/>
                <w:lang w:val="en-US"/>
              </w:rPr>
              <w:t>Error! Bookmark not defined.</w:t>
            </w:r>
            <w:r w:rsidR="00CD0B8A">
              <w:rPr>
                <w:noProof/>
                <w:webHidden/>
              </w:rPr>
              <w:fldChar w:fldCharType="end"/>
            </w:r>
          </w:hyperlink>
        </w:p>
        <w:p w14:paraId="6C9198A4" w14:textId="7E3BBABD" w:rsidR="00CD0B8A" w:rsidRDefault="0004051C">
          <w:pPr>
            <w:pStyle w:val="TOC3"/>
            <w:tabs>
              <w:tab w:val="right" w:leader="dot" w:pos="9010"/>
            </w:tabs>
            <w:rPr>
              <w:rFonts w:eastAsiaTheme="minorEastAsia"/>
              <w:noProof/>
              <w:sz w:val="22"/>
              <w:szCs w:val="22"/>
              <w:lang w:eastAsia="en-GB" w:bidi="he-IL"/>
            </w:rPr>
          </w:pPr>
          <w:hyperlink w:anchor="_Toc523385929" w:history="1">
            <w:r w:rsidR="00CD0B8A" w:rsidRPr="00A66F78">
              <w:rPr>
                <w:rStyle w:val="Hyperlink"/>
                <w:noProof/>
              </w:rPr>
              <w:t>Key terms of Safeguard (d)</w:t>
            </w:r>
            <w:r w:rsidR="00CD0B8A">
              <w:rPr>
                <w:noProof/>
                <w:webHidden/>
              </w:rPr>
              <w:tab/>
            </w:r>
            <w:r w:rsidR="00CD0B8A">
              <w:rPr>
                <w:noProof/>
                <w:webHidden/>
              </w:rPr>
              <w:fldChar w:fldCharType="begin"/>
            </w:r>
            <w:r w:rsidR="00CD0B8A">
              <w:rPr>
                <w:noProof/>
                <w:webHidden/>
              </w:rPr>
              <w:instrText xml:space="preserve"> PAGEREF _Toc523385929 \h </w:instrText>
            </w:r>
            <w:r w:rsidR="00CD0B8A">
              <w:rPr>
                <w:noProof/>
                <w:webHidden/>
              </w:rPr>
            </w:r>
            <w:r w:rsidR="00CD0B8A">
              <w:rPr>
                <w:noProof/>
                <w:webHidden/>
              </w:rPr>
              <w:fldChar w:fldCharType="separate"/>
            </w:r>
            <w:r w:rsidR="009A629F">
              <w:rPr>
                <w:b/>
                <w:bCs/>
                <w:noProof/>
                <w:webHidden/>
                <w:lang w:val="en-US"/>
              </w:rPr>
              <w:t>Error! Bookmark not defined.</w:t>
            </w:r>
            <w:r w:rsidR="00CD0B8A">
              <w:rPr>
                <w:noProof/>
                <w:webHidden/>
              </w:rPr>
              <w:fldChar w:fldCharType="end"/>
            </w:r>
          </w:hyperlink>
        </w:p>
        <w:p w14:paraId="2899B621" w14:textId="4ABEA375" w:rsidR="00CD0B8A" w:rsidRDefault="0004051C">
          <w:pPr>
            <w:pStyle w:val="TOC3"/>
            <w:tabs>
              <w:tab w:val="right" w:leader="dot" w:pos="9010"/>
            </w:tabs>
            <w:rPr>
              <w:rFonts w:eastAsiaTheme="minorEastAsia"/>
              <w:noProof/>
              <w:sz w:val="22"/>
              <w:szCs w:val="22"/>
              <w:lang w:eastAsia="en-GB" w:bidi="he-IL"/>
            </w:rPr>
          </w:pPr>
          <w:hyperlink w:anchor="_Toc523385930" w:history="1">
            <w:r w:rsidR="00CD0B8A" w:rsidRPr="00A66F78">
              <w:rPr>
                <w:rStyle w:val="Hyperlink"/>
                <w:noProof/>
              </w:rPr>
              <w:t>Key terms of Safeguard (e)</w:t>
            </w:r>
            <w:r w:rsidR="00CD0B8A">
              <w:rPr>
                <w:noProof/>
                <w:webHidden/>
              </w:rPr>
              <w:tab/>
            </w:r>
            <w:r w:rsidR="00CD0B8A">
              <w:rPr>
                <w:noProof/>
                <w:webHidden/>
              </w:rPr>
              <w:fldChar w:fldCharType="begin"/>
            </w:r>
            <w:r w:rsidR="00CD0B8A">
              <w:rPr>
                <w:noProof/>
                <w:webHidden/>
              </w:rPr>
              <w:instrText xml:space="preserve"> PAGEREF _Toc523385930 \h </w:instrText>
            </w:r>
            <w:r w:rsidR="00CD0B8A">
              <w:rPr>
                <w:noProof/>
                <w:webHidden/>
              </w:rPr>
            </w:r>
            <w:r w:rsidR="00CD0B8A">
              <w:rPr>
                <w:noProof/>
                <w:webHidden/>
              </w:rPr>
              <w:fldChar w:fldCharType="separate"/>
            </w:r>
            <w:r w:rsidR="009A629F">
              <w:rPr>
                <w:b/>
                <w:bCs/>
                <w:noProof/>
                <w:webHidden/>
                <w:lang w:val="en-US"/>
              </w:rPr>
              <w:t>Error! Bookmark not defined.</w:t>
            </w:r>
            <w:r w:rsidR="00CD0B8A">
              <w:rPr>
                <w:noProof/>
                <w:webHidden/>
              </w:rPr>
              <w:fldChar w:fldCharType="end"/>
            </w:r>
          </w:hyperlink>
        </w:p>
        <w:p w14:paraId="2BECCEDB" w14:textId="43283510" w:rsidR="00CD0B8A" w:rsidRDefault="0004051C">
          <w:pPr>
            <w:pStyle w:val="TOC3"/>
            <w:tabs>
              <w:tab w:val="right" w:leader="dot" w:pos="9010"/>
            </w:tabs>
            <w:rPr>
              <w:rFonts w:eastAsiaTheme="minorEastAsia"/>
              <w:noProof/>
              <w:sz w:val="22"/>
              <w:szCs w:val="22"/>
              <w:lang w:eastAsia="en-GB" w:bidi="he-IL"/>
            </w:rPr>
          </w:pPr>
          <w:hyperlink w:anchor="_Toc523385931" w:history="1">
            <w:r w:rsidR="00CD0B8A" w:rsidRPr="00A66F78">
              <w:rPr>
                <w:rStyle w:val="Hyperlink"/>
                <w:noProof/>
              </w:rPr>
              <w:t>Key terms of Safeguard (f) and (g)</w:t>
            </w:r>
            <w:r w:rsidR="00CD0B8A">
              <w:rPr>
                <w:noProof/>
                <w:webHidden/>
              </w:rPr>
              <w:tab/>
            </w:r>
            <w:r w:rsidR="00CD0B8A">
              <w:rPr>
                <w:noProof/>
                <w:webHidden/>
              </w:rPr>
              <w:fldChar w:fldCharType="begin"/>
            </w:r>
            <w:r w:rsidR="00CD0B8A">
              <w:rPr>
                <w:noProof/>
                <w:webHidden/>
              </w:rPr>
              <w:instrText xml:space="preserve"> PAGEREF _Toc523385931 \h </w:instrText>
            </w:r>
            <w:r w:rsidR="00CD0B8A">
              <w:rPr>
                <w:noProof/>
                <w:webHidden/>
              </w:rPr>
            </w:r>
            <w:r w:rsidR="00CD0B8A">
              <w:rPr>
                <w:noProof/>
                <w:webHidden/>
              </w:rPr>
              <w:fldChar w:fldCharType="separate"/>
            </w:r>
            <w:r w:rsidR="009A629F">
              <w:rPr>
                <w:b/>
                <w:bCs/>
                <w:noProof/>
                <w:webHidden/>
                <w:lang w:val="en-US"/>
              </w:rPr>
              <w:t>Error! Bookmark not defined.</w:t>
            </w:r>
            <w:r w:rsidR="00CD0B8A">
              <w:rPr>
                <w:noProof/>
                <w:webHidden/>
              </w:rPr>
              <w:fldChar w:fldCharType="end"/>
            </w:r>
          </w:hyperlink>
        </w:p>
        <w:p w14:paraId="36C86A3F" w14:textId="1200C492" w:rsidR="00CD0B8A" w:rsidRDefault="0004051C">
          <w:pPr>
            <w:pStyle w:val="TOC3"/>
            <w:tabs>
              <w:tab w:val="right" w:leader="dot" w:pos="9010"/>
            </w:tabs>
            <w:rPr>
              <w:rFonts w:eastAsiaTheme="minorEastAsia"/>
              <w:noProof/>
              <w:sz w:val="22"/>
              <w:szCs w:val="22"/>
              <w:lang w:eastAsia="en-GB" w:bidi="he-IL"/>
            </w:rPr>
          </w:pPr>
          <w:hyperlink w:anchor="_Toc523385932" w:history="1">
            <w:r w:rsidR="00CD0B8A" w:rsidRPr="00A66F78">
              <w:rPr>
                <w:rStyle w:val="Hyperlink"/>
                <w:noProof/>
              </w:rPr>
              <w:t>Key terms of Safeguard (g)</w:t>
            </w:r>
            <w:r w:rsidR="00CD0B8A">
              <w:rPr>
                <w:noProof/>
                <w:webHidden/>
              </w:rPr>
              <w:tab/>
            </w:r>
            <w:r w:rsidR="00CD0B8A">
              <w:rPr>
                <w:noProof/>
                <w:webHidden/>
              </w:rPr>
              <w:fldChar w:fldCharType="begin"/>
            </w:r>
            <w:r w:rsidR="00CD0B8A">
              <w:rPr>
                <w:noProof/>
                <w:webHidden/>
              </w:rPr>
              <w:instrText xml:space="preserve"> PAGEREF _Toc523385932 \h </w:instrText>
            </w:r>
            <w:r w:rsidR="00CD0B8A">
              <w:rPr>
                <w:noProof/>
                <w:webHidden/>
              </w:rPr>
            </w:r>
            <w:r w:rsidR="00CD0B8A">
              <w:rPr>
                <w:noProof/>
                <w:webHidden/>
              </w:rPr>
              <w:fldChar w:fldCharType="separate"/>
            </w:r>
            <w:r w:rsidR="009A629F">
              <w:rPr>
                <w:b/>
                <w:bCs/>
                <w:noProof/>
                <w:webHidden/>
                <w:lang w:val="en-US"/>
              </w:rPr>
              <w:t>Error! Bookmark not defined.</w:t>
            </w:r>
            <w:r w:rsidR="00CD0B8A">
              <w:rPr>
                <w:noProof/>
                <w:webHidden/>
              </w:rPr>
              <w:fldChar w:fldCharType="end"/>
            </w:r>
          </w:hyperlink>
        </w:p>
        <w:p w14:paraId="41A0BFB0" w14:textId="678AFECC" w:rsidR="00CD0B8A" w:rsidRDefault="0004051C">
          <w:pPr>
            <w:pStyle w:val="TOC1"/>
            <w:tabs>
              <w:tab w:val="right" w:leader="dot" w:pos="9010"/>
            </w:tabs>
            <w:rPr>
              <w:rFonts w:eastAsiaTheme="minorEastAsia"/>
              <w:b w:val="0"/>
              <w:bCs w:val="0"/>
              <w:i w:val="0"/>
              <w:iCs w:val="0"/>
              <w:noProof/>
              <w:sz w:val="22"/>
              <w:szCs w:val="22"/>
              <w:lang w:eastAsia="en-GB" w:bidi="he-IL"/>
            </w:rPr>
          </w:pPr>
          <w:hyperlink w:anchor="_Toc523385933" w:history="1">
            <w:r w:rsidR="00CD0B8A" w:rsidRPr="00A66F78">
              <w:rPr>
                <w:rStyle w:val="Hyperlink"/>
                <w:noProof/>
              </w:rPr>
              <w:t>Part III: Measures in place to address the safeguards</w:t>
            </w:r>
            <w:r w:rsidR="00CD0B8A">
              <w:rPr>
                <w:noProof/>
                <w:webHidden/>
              </w:rPr>
              <w:tab/>
            </w:r>
            <w:r w:rsidR="00CD0B8A">
              <w:rPr>
                <w:noProof/>
                <w:webHidden/>
              </w:rPr>
              <w:fldChar w:fldCharType="begin"/>
            </w:r>
            <w:r w:rsidR="00CD0B8A">
              <w:rPr>
                <w:noProof/>
                <w:webHidden/>
              </w:rPr>
              <w:instrText xml:space="preserve"> PAGEREF _Toc523385933 \h </w:instrText>
            </w:r>
            <w:r w:rsidR="00CD0B8A">
              <w:rPr>
                <w:noProof/>
                <w:webHidden/>
              </w:rPr>
            </w:r>
            <w:r w:rsidR="00CD0B8A">
              <w:rPr>
                <w:noProof/>
                <w:webHidden/>
              </w:rPr>
              <w:fldChar w:fldCharType="separate"/>
            </w:r>
            <w:r w:rsidR="009A629F">
              <w:rPr>
                <w:noProof/>
                <w:webHidden/>
              </w:rPr>
              <w:t>27</w:t>
            </w:r>
            <w:r w:rsidR="00CD0B8A">
              <w:rPr>
                <w:noProof/>
                <w:webHidden/>
              </w:rPr>
              <w:fldChar w:fldCharType="end"/>
            </w:r>
          </w:hyperlink>
        </w:p>
        <w:p w14:paraId="4EE6A3BF" w14:textId="38D05758" w:rsidR="00CD0B8A" w:rsidRDefault="0004051C">
          <w:pPr>
            <w:pStyle w:val="TOC2"/>
            <w:tabs>
              <w:tab w:val="left" w:pos="660"/>
              <w:tab w:val="right" w:leader="dot" w:pos="9010"/>
            </w:tabs>
            <w:rPr>
              <w:rFonts w:eastAsiaTheme="minorEastAsia"/>
              <w:b w:val="0"/>
              <w:bCs w:val="0"/>
              <w:noProof/>
              <w:lang w:eastAsia="en-GB" w:bidi="he-IL"/>
            </w:rPr>
          </w:pPr>
          <w:hyperlink w:anchor="_Toc523385934" w:history="1">
            <w:r w:rsidR="00CD0B8A" w:rsidRPr="00A66F78">
              <w:rPr>
                <w:rStyle w:val="Hyperlink"/>
                <w:rFonts w:eastAsia="Arial"/>
                <w:noProof/>
              </w:rPr>
              <w:t>a)</w:t>
            </w:r>
            <w:r w:rsidR="00CD0B8A">
              <w:rPr>
                <w:rFonts w:eastAsiaTheme="minorEastAsia"/>
                <w:b w:val="0"/>
                <w:bCs w:val="0"/>
                <w:noProof/>
                <w:lang w:eastAsia="en-GB" w:bidi="he-IL"/>
              </w:rPr>
              <w:tab/>
            </w:r>
            <w:r w:rsidR="00CD0B8A" w:rsidRPr="00A66F78">
              <w:rPr>
                <w:rStyle w:val="Hyperlink"/>
                <w:rFonts w:eastAsia="Arial"/>
                <w:noProof/>
              </w:rPr>
              <w:t>Introduction</w:t>
            </w:r>
            <w:r w:rsidR="00CD0B8A">
              <w:rPr>
                <w:noProof/>
                <w:webHidden/>
              </w:rPr>
              <w:tab/>
            </w:r>
            <w:r w:rsidR="00CD0B8A">
              <w:rPr>
                <w:noProof/>
                <w:webHidden/>
              </w:rPr>
              <w:fldChar w:fldCharType="begin"/>
            </w:r>
            <w:r w:rsidR="00CD0B8A">
              <w:rPr>
                <w:noProof/>
                <w:webHidden/>
              </w:rPr>
              <w:instrText xml:space="preserve"> PAGEREF _Toc523385934 \h </w:instrText>
            </w:r>
            <w:r w:rsidR="00CD0B8A">
              <w:rPr>
                <w:noProof/>
                <w:webHidden/>
              </w:rPr>
            </w:r>
            <w:r w:rsidR="00CD0B8A">
              <w:rPr>
                <w:noProof/>
                <w:webHidden/>
              </w:rPr>
              <w:fldChar w:fldCharType="separate"/>
            </w:r>
            <w:r w:rsidR="009A629F">
              <w:rPr>
                <w:noProof/>
                <w:webHidden/>
              </w:rPr>
              <w:t>27</w:t>
            </w:r>
            <w:r w:rsidR="00CD0B8A">
              <w:rPr>
                <w:noProof/>
                <w:webHidden/>
              </w:rPr>
              <w:fldChar w:fldCharType="end"/>
            </w:r>
          </w:hyperlink>
        </w:p>
        <w:p w14:paraId="0124A3F1" w14:textId="229EFF50" w:rsidR="00CD0B8A" w:rsidRDefault="0004051C">
          <w:pPr>
            <w:pStyle w:val="TOC2"/>
            <w:tabs>
              <w:tab w:val="left" w:pos="660"/>
              <w:tab w:val="right" w:leader="dot" w:pos="9010"/>
            </w:tabs>
            <w:rPr>
              <w:rFonts w:eastAsiaTheme="minorEastAsia"/>
              <w:b w:val="0"/>
              <w:bCs w:val="0"/>
              <w:noProof/>
              <w:lang w:eastAsia="en-GB" w:bidi="he-IL"/>
            </w:rPr>
          </w:pPr>
          <w:hyperlink w:anchor="_Toc523385935" w:history="1">
            <w:r w:rsidR="00CD0B8A" w:rsidRPr="00A66F78">
              <w:rPr>
                <w:rStyle w:val="Hyperlink"/>
                <w:noProof/>
              </w:rPr>
              <w:t>b)</w:t>
            </w:r>
            <w:r w:rsidR="00CD0B8A">
              <w:rPr>
                <w:rFonts w:eastAsiaTheme="minorEastAsia"/>
                <w:b w:val="0"/>
                <w:bCs w:val="0"/>
                <w:noProof/>
                <w:lang w:eastAsia="en-GB" w:bidi="he-IL"/>
              </w:rPr>
              <w:tab/>
            </w:r>
            <w:r w:rsidR="00CD0B8A" w:rsidRPr="00A66F78">
              <w:rPr>
                <w:rStyle w:val="Hyperlink"/>
                <w:noProof/>
              </w:rPr>
              <w:t>Description of the relevant PLRs for each safeguard component/element</w:t>
            </w:r>
            <w:r w:rsidR="00CD0B8A">
              <w:rPr>
                <w:noProof/>
                <w:webHidden/>
              </w:rPr>
              <w:tab/>
            </w:r>
            <w:r w:rsidR="00CD0B8A">
              <w:rPr>
                <w:noProof/>
                <w:webHidden/>
              </w:rPr>
              <w:fldChar w:fldCharType="begin"/>
            </w:r>
            <w:r w:rsidR="00CD0B8A">
              <w:rPr>
                <w:noProof/>
                <w:webHidden/>
              </w:rPr>
              <w:instrText xml:space="preserve"> PAGEREF _Toc523385935 \h </w:instrText>
            </w:r>
            <w:r w:rsidR="00CD0B8A">
              <w:rPr>
                <w:noProof/>
                <w:webHidden/>
              </w:rPr>
            </w:r>
            <w:r w:rsidR="00CD0B8A">
              <w:rPr>
                <w:noProof/>
                <w:webHidden/>
              </w:rPr>
              <w:fldChar w:fldCharType="separate"/>
            </w:r>
            <w:r w:rsidR="009A629F">
              <w:rPr>
                <w:noProof/>
                <w:webHidden/>
              </w:rPr>
              <w:t>28</w:t>
            </w:r>
            <w:r w:rsidR="00CD0B8A">
              <w:rPr>
                <w:noProof/>
                <w:webHidden/>
              </w:rPr>
              <w:fldChar w:fldCharType="end"/>
            </w:r>
          </w:hyperlink>
        </w:p>
        <w:p w14:paraId="75B207F3" w14:textId="771E3F35" w:rsidR="00CD0B8A" w:rsidRDefault="0004051C">
          <w:pPr>
            <w:pStyle w:val="TOC3"/>
            <w:tabs>
              <w:tab w:val="right" w:leader="dot" w:pos="9010"/>
            </w:tabs>
            <w:rPr>
              <w:rFonts w:eastAsiaTheme="minorEastAsia"/>
              <w:noProof/>
              <w:sz w:val="22"/>
              <w:szCs w:val="22"/>
              <w:lang w:eastAsia="en-GB" w:bidi="he-IL"/>
            </w:rPr>
          </w:pPr>
          <w:hyperlink w:anchor="_Toc523385936" w:history="1">
            <w:r w:rsidR="00CD0B8A" w:rsidRPr="00A66F78">
              <w:rPr>
                <w:rStyle w:val="Hyperlink"/>
                <w:rFonts w:eastAsia="Times New Roman"/>
                <w:noProof/>
              </w:rPr>
              <w:t>Elaboration on Safeguard A and the relevant PLRs in place in Ghana</w:t>
            </w:r>
            <w:r w:rsidR="00CD0B8A">
              <w:rPr>
                <w:noProof/>
                <w:webHidden/>
              </w:rPr>
              <w:tab/>
            </w:r>
            <w:r w:rsidR="00CD0B8A">
              <w:rPr>
                <w:noProof/>
                <w:webHidden/>
              </w:rPr>
              <w:fldChar w:fldCharType="begin"/>
            </w:r>
            <w:r w:rsidR="00CD0B8A">
              <w:rPr>
                <w:noProof/>
                <w:webHidden/>
              </w:rPr>
              <w:instrText xml:space="preserve"> PAGEREF _Toc523385936 \h </w:instrText>
            </w:r>
            <w:r w:rsidR="00CD0B8A">
              <w:rPr>
                <w:noProof/>
                <w:webHidden/>
              </w:rPr>
            </w:r>
            <w:r w:rsidR="00CD0B8A">
              <w:rPr>
                <w:noProof/>
                <w:webHidden/>
              </w:rPr>
              <w:fldChar w:fldCharType="separate"/>
            </w:r>
            <w:r w:rsidR="009A629F">
              <w:rPr>
                <w:b/>
                <w:bCs/>
                <w:noProof/>
                <w:webHidden/>
                <w:lang w:val="en-US"/>
              </w:rPr>
              <w:t>Error! Bookmark not defined.</w:t>
            </w:r>
            <w:r w:rsidR="00CD0B8A">
              <w:rPr>
                <w:noProof/>
                <w:webHidden/>
              </w:rPr>
              <w:fldChar w:fldCharType="end"/>
            </w:r>
          </w:hyperlink>
        </w:p>
        <w:p w14:paraId="49E7E658" w14:textId="23AC9717" w:rsidR="00CD0B8A" w:rsidRDefault="0004051C">
          <w:pPr>
            <w:pStyle w:val="TOC3"/>
            <w:tabs>
              <w:tab w:val="right" w:leader="dot" w:pos="9010"/>
            </w:tabs>
            <w:rPr>
              <w:rFonts w:eastAsiaTheme="minorEastAsia"/>
              <w:noProof/>
              <w:sz w:val="22"/>
              <w:szCs w:val="22"/>
              <w:lang w:eastAsia="en-GB" w:bidi="he-IL"/>
            </w:rPr>
          </w:pPr>
          <w:hyperlink w:anchor="_Toc523385937" w:history="1">
            <w:r w:rsidR="00CD0B8A" w:rsidRPr="00A66F78">
              <w:rPr>
                <w:rStyle w:val="Hyperlink"/>
                <w:rFonts w:eastAsia="Times New Roman"/>
                <w:noProof/>
              </w:rPr>
              <w:t>Elaboration on Safeguard B and the relevant PLRs in place in Ghana</w:t>
            </w:r>
            <w:r w:rsidR="00CD0B8A">
              <w:rPr>
                <w:noProof/>
                <w:webHidden/>
              </w:rPr>
              <w:tab/>
            </w:r>
            <w:r w:rsidR="00CD0B8A">
              <w:rPr>
                <w:noProof/>
                <w:webHidden/>
              </w:rPr>
              <w:fldChar w:fldCharType="begin"/>
            </w:r>
            <w:r w:rsidR="00CD0B8A">
              <w:rPr>
                <w:noProof/>
                <w:webHidden/>
              </w:rPr>
              <w:instrText xml:space="preserve"> PAGEREF _Toc523385937 \h </w:instrText>
            </w:r>
            <w:r w:rsidR="00CD0B8A">
              <w:rPr>
                <w:noProof/>
                <w:webHidden/>
              </w:rPr>
            </w:r>
            <w:r w:rsidR="00CD0B8A">
              <w:rPr>
                <w:noProof/>
                <w:webHidden/>
              </w:rPr>
              <w:fldChar w:fldCharType="separate"/>
            </w:r>
            <w:r w:rsidR="009A629F">
              <w:rPr>
                <w:b/>
                <w:bCs/>
                <w:noProof/>
                <w:webHidden/>
                <w:lang w:val="en-US"/>
              </w:rPr>
              <w:t>Error! Bookmark not defined.</w:t>
            </w:r>
            <w:r w:rsidR="00CD0B8A">
              <w:rPr>
                <w:noProof/>
                <w:webHidden/>
              </w:rPr>
              <w:fldChar w:fldCharType="end"/>
            </w:r>
          </w:hyperlink>
        </w:p>
        <w:p w14:paraId="607CA717" w14:textId="0106F22A" w:rsidR="00CD0B8A" w:rsidRDefault="0004051C">
          <w:pPr>
            <w:pStyle w:val="TOC3"/>
            <w:tabs>
              <w:tab w:val="right" w:leader="dot" w:pos="9010"/>
            </w:tabs>
            <w:rPr>
              <w:rFonts w:eastAsiaTheme="minorEastAsia"/>
              <w:noProof/>
              <w:sz w:val="22"/>
              <w:szCs w:val="22"/>
              <w:lang w:eastAsia="en-GB" w:bidi="he-IL"/>
            </w:rPr>
          </w:pPr>
          <w:hyperlink w:anchor="_Toc523385938" w:history="1">
            <w:r w:rsidR="00CD0B8A" w:rsidRPr="00A66F78">
              <w:rPr>
                <w:rStyle w:val="Hyperlink"/>
                <w:rFonts w:eastAsia="Times New Roman"/>
                <w:noProof/>
              </w:rPr>
              <w:t>Elaboration on Safeguard C and the relevant PLRs in place in Ghana</w:t>
            </w:r>
            <w:r w:rsidR="00CD0B8A">
              <w:rPr>
                <w:noProof/>
                <w:webHidden/>
              </w:rPr>
              <w:tab/>
            </w:r>
            <w:r w:rsidR="00CD0B8A">
              <w:rPr>
                <w:noProof/>
                <w:webHidden/>
              </w:rPr>
              <w:fldChar w:fldCharType="begin"/>
            </w:r>
            <w:r w:rsidR="00CD0B8A">
              <w:rPr>
                <w:noProof/>
                <w:webHidden/>
              </w:rPr>
              <w:instrText xml:space="preserve"> PAGEREF _Toc523385938 \h </w:instrText>
            </w:r>
            <w:r w:rsidR="00CD0B8A">
              <w:rPr>
                <w:noProof/>
                <w:webHidden/>
              </w:rPr>
            </w:r>
            <w:r w:rsidR="00CD0B8A">
              <w:rPr>
                <w:noProof/>
                <w:webHidden/>
              </w:rPr>
              <w:fldChar w:fldCharType="separate"/>
            </w:r>
            <w:r w:rsidR="009A629F">
              <w:rPr>
                <w:b/>
                <w:bCs/>
                <w:noProof/>
                <w:webHidden/>
                <w:lang w:val="en-US"/>
              </w:rPr>
              <w:t>Error! Bookmark not defined.</w:t>
            </w:r>
            <w:r w:rsidR="00CD0B8A">
              <w:rPr>
                <w:noProof/>
                <w:webHidden/>
              </w:rPr>
              <w:fldChar w:fldCharType="end"/>
            </w:r>
          </w:hyperlink>
        </w:p>
        <w:p w14:paraId="2923177E" w14:textId="21ED0951" w:rsidR="00CD0B8A" w:rsidRDefault="0004051C">
          <w:pPr>
            <w:pStyle w:val="TOC3"/>
            <w:tabs>
              <w:tab w:val="right" w:leader="dot" w:pos="9010"/>
            </w:tabs>
            <w:rPr>
              <w:rFonts w:eastAsiaTheme="minorEastAsia"/>
              <w:noProof/>
              <w:sz w:val="22"/>
              <w:szCs w:val="22"/>
              <w:lang w:eastAsia="en-GB" w:bidi="he-IL"/>
            </w:rPr>
          </w:pPr>
          <w:hyperlink w:anchor="_Toc523385939" w:history="1">
            <w:r w:rsidR="00CD0B8A" w:rsidRPr="00A66F78">
              <w:rPr>
                <w:rStyle w:val="Hyperlink"/>
                <w:rFonts w:eastAsia="Times New Roman"/>
                <w:noProof/>
              </w:rPr>
              <w:t>Elaboration on Safeguard D and the relevant PLRs in place in Ghana</w:t>
            </w:r>
            <w:r w:rsidR="00CD0B8A">
              <w:rPr>
                <w:noProof/>
                <w:webHidden/>
              </w:rPr>
              <w:tab/>
            </w:r>
            <w:r w:rsidR="00CD0B8A">
              <w:rPr>
                <w:noProof/>
                <w:webHidden/>
              </w:rPr>
              <w:fldChar w:fldCharType="begin"/>
            </w:r>
            <w:r w:rsidR="00CD0B8A">
              <w:rPr>
                <w:noProof/>
                <w:webHidden/>
              </w:rPr>
              <w:instrText xml:space="preserve"> PAGEREF _Toc523385939 \h </w:instrText>
            </w:r>
            <w:r w:rsidR="00CD0B8A">
              <w:rPr>
                <w:noProof/>
                <w:webHidden/>
              </w:rPr>
            </w:r>
            <w:r w:rsidR="00CD0B8A">
              <w:rPr>
                <w:noProof/>
                <w:webHidden/>
              </w:rPr>
              <w:fldChar w:fldCharType="separate"/>
            </w:r>
            <w:r w:rsidR="009A629F">
              <w:rPr>
                <w:b/>
                <w:bCs/>
                <w:noProof/>
                <w:webHidden/>
                <w:lang w:val="en-US"/>
              </w:rPr>
              <w:t>Error! Bookmark not defined.</w:t>
            </w:r>
            <w:r w:rsidR="00CD0B8A">
              <w:rPr>
                <w:noProof/>
                <w:webHidden/>
              </w:rPr>
              <w:fldChar w:fldCharType="end"/>
            </w:r>
          </w:hyperlink>
        </w:p>
        <w:p w14:paraId="4248F319" w14:textId="34FF89AF" w:rsidR="00CD0B8A" w:rsidRDefault="0004051C">
          <w:pPr>
            <w:pStyle w:val="TOC3"/>
            <w:tabs>
              <w:tab w:val="right" w:leader="dot" w:pos="9010"/>
            </w:tabs>
            <w:rPr>
              <w:rFonts w:eastAsiaTheme="minorEastAsia"/>
              <w:noProof/>
              <w:sz w:val="22"/>
              <w:szCs w:val="22"/>
              <w:lang w:eastAsia="en-GB" w:bidi="he-IL"/>
            </w:rPr>
          </w:pPr>
          <w:hyperlink w:anchor="_Toc523385940" w:history="1">
            <w:r w:rsidR="00CD0B8A" w:rsidRPr="00A66F78">
              <w:rPr>
                <w:rStyle w:val="Hyperlink"/>
                <w:rFonts w:eastAsia="Times New Roman"/>
                <w:noProof/>
              </w:rPr>
              <w:t>Elaboration on Safeguard E and the relevant PLRs in place in Ghana</w:t>
            </w:r>
            <w:r w:rsidR="00CD0B8A">
              <w:rPr>
                <w:noProof/>
                <w:webHidden/>
              </w:rPr>
              <w:tab/>
            </w:r>
            <w:r w:rsidR="00CD0B8A">
              <w:rPr>
                <w:noProof/>
                <w:webHidden/>
              </w:rPr>
              <w:fldChar w:fldCharType="begin"/>
            </w:r>
            <w:r w:rsidR="00CD0B8A">
              <w:rPr>
                <w:noProof/>
                <w:webHidden/>
              </w:rPr>
              <w:instrText xml:space="preserve"> PAGEREF _Toc523385940 \h </w:instrText>
            </w:r>
            <w:r w:rsidR="00CD0B8A">
              <w:rPr>
                <w:noProof/>
                <w:webHidden/>
              </w:rPr>
            </w:r>
            <w:r w:rsidR="00CD0B8A">
              <w:rPr>
                <w:noProof/>
                <w:webHidden/>
              </w:rPr>
              <w:fldChar w:fldCharType="separate"/>
            </w:r>
            <w:r w:rsidR="009A629F">
              <w:rPr>
                <w:b/>
                <w:bCs/>
                <w:noProof/>
                <w:webHidden/>
                <w:lang w:val="en-US"/>
              </w:rPr>
              <w:t>Error! Bookmark not defined.</w:t>
            </w:r>
            <w:r w:rsidR="00CD0B8A">
              <w:rPr>
                <w:noProof/>
                <w:webHidden/>
              </w:rPr>
              <w:fldChar w:fldCharType="end"/>
            </w:r>
          </w:hyperlink>
        </w:p>
        <w:p w14:paraId="03A2D403" w14:textId="2E6EAAB9" w:rsidR="00CD0B8A" w:rsidRDefault="0004051C">
          <w:pPr>
            <w:pStyle w:val="TOC3"/>
            <w:tabs>
              <w:tab w:val="right" w:leader="dot" w:pos="9010"/>
            </w:tabs>
            <w:rPr>
              <w:rFonts w:eastAsiaTheme="minorEastAsia"/>
              <w:noProof/>
              <w:sz w:val="22"/>
              <w:szCs w:val="22"/>
              <w:lang w:eastAsia="en-GB" w:bidi="he-IL"/>
            </w:rPr>
          </w:pPr>
          <w:hyperlink w:anchor="_Toc523385941" w:history="1">
            <w:r w:rsidR="00CD0B8A" w:rsidRPr="00A66F78">
              <w:rPr>
                <w:rStyle w:val="Hyperlink"/>
                <w:noProof/>
              </w:rPr>
              <w:t>Elaboration on Safeguards F and G and the relevant PLRs in place in Ghana</w:t>
            </w:r>
            <w:r w:rsidR="00CD0B8A">
              <w:rPr>
                <w:noProof/>
                <w:webHidden/>
              </w:rPr>
              <w:tab/>
            </w:r>
            <w:r w:rsidR="00CD0B8A">
              <w:rPr>
                <w:noProof/>
                <w:webHidden/>
              </w:rPr>
              <w:fldChar w:fldCharType="begin"/>
            </w:r>
            <w:r w:rsidR="00CD0B8A">
              <w:rPr>
                <w:noProof/>
                <w:webHidden/>
              </w:rPr>
              <w:instrText xml:space="preserve"> PAGEREF _Toc523385941 \h </w:instrText>
            </w:r>
            <w:r w:rsidR="00CD0B8A">
              <w:rPr>
                <w:noProof/>
                <w:webHidden/>
              </w:rPr>
            </w:r>
            <w:r w:rsidR="00CD0B8A">
              <w:rPr>
                <w:noProof/>
                <w:webHidden/>
              </w:rPr>
              <w:fldChar w:fldCharType="separate"/>
            </w:r>
            <w:r w:rsidR="009A629F">
              <w:rPr>
                <w:b/>
                <w:bCs/>
                <w:noProof/>
                <w:webHidden/>
                <w:lang w:val="en-US"/>
              </w:rPr>
              <w:t>Error! Bookmark not defined.</w:t>
            </w:r>
            <w:r w:rsidR="00CD0B8A">
              <w:rPr>
                <w:noProof/>
                <w:webHidden/>
              </w:rPr>
              <w:fldChar w:fldCharType="end"/>
            </w:r>
          </w:hyperlink>
        </w:p>
        <w:p w14:paraId="18AC26F9" w14:textId="51383888" w:rsidR="00CD0B8A" w:rsidRDefault="0004051C">
          <w:pPr>
            <w:pStyle w:val="TOC1"/>
            <w:tabs>
              <w:tab w:val="right" w:leader="dot" w:pos="9010"/>
            </w:tabs>
            <w:rPr>
              <w:rFonts w:eastAsiaTheme="minorEastAsia"/>
              <w:b w:val="0"/>
              <w:bCs w:val="0"/>
              <w:i w:val="0"/>
              <w:iCs w:val="0"/>
              <w:noProof/>
              <w:sz w:val="22"/>
              <w:szCs w:val="22"/>
              <w:lang w:eastAsia="en-GB" w:bidi="he-IL"/>
            </w:rPr>
          </w:pPr>
          <w:hyperlink w:anchor="_Toc523385942" w:history="1">
            <w:r w:rsidR="00CD0B8A" w:rsidRPr="00A66F78">
              <w:rPr>
                <w:rStyle w:val="Hyperlink"/>
                <w:noProof/>
              </w:rPr>
              <w:t xml:space="preserve">Part IV: How information about safeguard’s implementation will be gathered and reported: Ghana’s SIS </w:t>
            </w:r>
            <w:r w:rsidR="00CD0B8A">
              <w:rPr>
                <w:noProof/>
                <w:webHidden/>
              </w:rPr>
              <w:tab/>
            </w:r>
            <w:r w:rsidR="00CD0B8A">
              <w:rPr>
                <w:noProof/>
                <w:webHidden/>
              </w:rPr>
              <w:fldChar w:fldCharType="begin"/>
            </w:r>
            <w:r w:rsidR="00CD0B8A">
              <w:rPr>
                <w:noProof/>
                <w:webHidden/>
              </w:rPr>
              <w:instrText xml:space="preserve"> PAGEREF _Toc523385942 \h </w:instrText>
            </w:r>
            <w:r w:rsidR="00CD0B8A">
              <w:rPr>
                <w:noProof/>
                <w:webHidden/>
              </w:rPr>
            </w:r>
            <w:r w:rsidR="00CD0B8A">
              <w:rPr>
                <w:noProof/>
                <w:webHidden/>
              </w:rPr>
              <w:fldChar w:fldCharType="separate"/>
            </w:r>
            <w:r w:rsidR="009A629F">
              <w:rPr>
                <w:noProof/>
                <w:webHidden/>
              </w:rPr>
              <w:t>34</w:t>
            </w:r>
            <w:r w:rsidR="00CD0B8A">
              <w:rPr>
                <w:noProof/>
                <w:webHidden/>
              </w:rPr>
              <w:fldChar w:fldCharType="end"/>
            </w:r>
          </w:hyperlink>
        </w:p>
        <w:p w14:paraId="1F5FD48F" w14:textId="469FCA37" w:rsidR="00CD0B8A" w:rsidRDefault="0004051C">
          <w:pPr>
            <w:pStyle w:val="TOC1"/>
            <w:tabs>
              <w:tab w:val="right" w:leader="dot" w:pos="9010"/>
            </w:tabs>
            <w:rPr>
              <w:rFonts w:eastAsiaTheme="minorEastAsia"/>
              <w:b w:val="0"/>
              <w:bCs w:val="0"/>
              <w:i w:val="0"/>
              <w:iCs w:val="0"/>
              <w:noProof/>
              <w:sz w:val="22"/>
              <w:szCs w:val="22"/>
              <w:lang w:eastAsia="en-GB" w:bidi="he-IL"/>
            </w:rPr>
          </w:pPr>
          <w:hyperlink w:anchor="_Toc523385943" w:history="1">
            <w:r w:rsidR="00CD0B8A" w:rsidRPr="00A66F78">
              <w:rPr>
                <w:rStyle w:val="Hyperlink"/>
                <w:noProof/>
              </w:rPr>
              <w:t>Part V: How the safeguards have been respected</w:t>
            </w:r>
            <w:r w:rsidR="00CD0B8A">
              <w:rPr>
                <w:noProof/>
                <w:webHidden/>
              </w:rPr>
              <w:tab/>
            </w:r>
            <w:r w:rsidR="00CD0B8A">
              <w:rPr>
                <w:noProof/>
                <w:webHidden/>
              </w:rPr>
              <w:fldChar w:fldCharType="begin"/>
            </w:r>
            <w:r w:rsidR="00CD0B8A">
              <w:rPr>
                <w:noProof/>
                <w:webHidden/>
              </w:rPr>
              <w:instrText xml:space="preserve"> PAGEREF _Toc523385943 \h </w:instrText>
            </w:r>
            <w:r w:rsidR="00CD0B8A">
              <w:rPr>
                <w:noProof/>
                <w:webHidden/>
              </w:rPr>
            </w:r>
            <w:r w:rsidR="00CD0B8A">
              <w:rPr>
                <w:noProof/>
                <w:webHidden/>
              </w:rPr>
              <w:fldChar w:fldCharType="separate"/>
            </w:r>
            <w:r w:rsidR="009A629F">
              <w:rPr>
                <w:noProof/>
                <w:webHidden/>
              </w:rPr>
              <w:t>35</w:t>
            </w:r>
            <w:r w:rsidR="00CD0B8A">
              <w:rPr>
                <w:noProof/>
                <w:webHidden/>
              </w:rPr>
              <w:fldChar w:fldCharType="end"/>
            </w:r>
          </w:hyperlink>
        </w:p>
        <w:p w14:paraId="3A6A2AF8" w14:textId="69ED2D71" w:rsidR="00CD0B8A" w:rsidRDefault="0004051C">
          <w:pPr>
            <w:pStyle w:val="TOC1"/>
            <w:tabs>
              <w:tab w:val="right" w:leader="dot" w:pos="9010"/>
            </w:tabs>
            <w:rPr>
              <w:rFonts w:eastAsiaTheme="minorEastAsia"/>
              <w:b w:val="0"/>
              <w:bCs w:val="0"/>
              <w:i w:val="0"/>
              <w:iCs w:val="0"/>
              <w:noProof/>
              <w:sz w:val="22"/>
              <w:szCs w:val="22"/>
              <w:lang w:eastAsia="en-GB" w:bidi="he-IL"/>
            </w:rPr>
          </w:pPr>
          <w:hyperlink w:anchor="_Toc523385944" w:history="1">
            <w:r w:rsidR="00CD0B8A" w:rsidRPr="00A66F78">
              <w:rPr>
                <w:rStyle w:val="Hyperlink"/>
                <w:noProof/>
              </w:rPr>
              <w:t>Part VI: Complementary information</w:t>
            </w:r>
            <w:r w:rsidR="00CD0B8A">
              <w:rPr>
                <w:noProof/>
                <w:webHidden/>
              </w:rPr>
              <w:tab/>
            </w:r>
            <w:r w:rsidR="00CD0B8A">
              <w:rPr>
                <w:noProof/>
                <w:webHidden/>
              </w:rPr>
              <w:fldChar w:fldCharType="begin"/>
            </w:r>
            <w:r w:rsidR="00CD0B8A">
              <w:rPr>
                <w:noProof/>
                <w:webHidden/>
              </w:rPr>
              <w:instrText xml:space="preserve"> PAGEREF _Toc523385944 \h </w:instrText>
            </w:r>
            <w:r w:rsidR="00CD0B8A">
              <w:rPr>
                <w:noProof/>
                <w:webHidden/>
              </w:rPr>
            </w:r>
            <w:r w:rsidR="00CD0B8A">
              <w:rPr>
                <w:noProof/>
                <w:webHidden/>
              </w:rPr>
              <w:fldChar w:fldCharType="separate"/>
            </w:r>
            <w:r w:rsidR="009A629F">
              <w:rPr>
                <w:noProof/>
                <w:webHidden/>
              </w:rPr>
              <w:t>50</w:t>
            </w:r>
            <w:r w:rsidR="00CD0B8A">
              <w:rPr>
                <w:noProof/>
                <w:webHidden/>
              </w:rPr>
              <w:fldChar w:fldCharType="end"/>
            </w:r>
          </w:hyperlink>
        </w:p>
        <w:p w14:paraId="055F5FF8" w14:textId="05D086F4" w:rsidR="0075455D" w:rsidRDefault="0075455D">
          <w:r>
            <w:rPr>
              <w:b/>
              <w:bCs/>
              <w:noProof/>
            </w:rPr>
            <w:fldChar w:fldCharType="end"/>
          </w:r>
        </w:p>
      </w:sdtContent>
    </w:sdt>
    <w:p w14:paraId="4913BCEA" w14:textId="77777777" w:rsidR="0075455D" w:rsidRDefault="0075455D" w:rsidP="00271F37">
      <w:pPr>
        <w:pStyle w:val="Heading1"/>
      </w:pPr>
    </w:p>
    <w:p w14:paraId="4EDB31A8" w14:textId="77777777" w:rsidR="0075455D" w:rsidRDefault="0075455D" w:rsidP="00271F37">
      <w:pPr>
        <w:pStyle w:val="Heading1"/>
      </w:pPr>
    </w:p>
    <w:p w14:paraId="583384AE" w14:textId="77777777" w:rsidR="0075455D" w:rsidRDefault="0075455D" w:rsidP="0075455D">
      <w:pPr>
        <w:pStyle w:val="Heading1"/>
        <w:sectPr w:rsidR="0075455D" w:rsidSect="00847229">
          <w:pgSz w:w="11900" w:h="16840"/>
          <w:pgMar w:top="1440" w:right="1440" w:bottom="1440" w:left="1440" w:header="720" w:footer="720" w:gutter="0"/>
          <w:cols w:space="720"/>
          <w:docGrid w:linePitch="360"/>
        </w:sectPr>
      </w:pPr>
    </w:p>
    <w:p w14:paraId="77FF73CB" w14:textId="1E0A36D9" w:rsidR="0075455D" w:rsidRDefault="0075455D" w:rsidP="00630EA9"/>
    <w:p w14:paraId="08E6DF4E" w14:textId="77777777" w:rsidR="0075455D" w:rsidRDefault="0075455D" w:rsidP="00630EA9"/>
    <w:p w14:paraId="3B48630C" w14:textId="2E3A630F" w:rsidR="00317B29" w:rsidRDefault="00317B29" w:rsidP="00271F37">
      <w:pPr>
        <w:pStyle w:val="Heading1"/>
      </w:pPr>
      <w:bookmarkStart w:id="1" w:name="_Toc523385918"/>
      <w:r>
        <w:t>Objective and scope</w:t>
      </w:r>
      <w:bookmarkEnd w:id="1"/>
    </w:p>
    <w:p w14:paraId="53DBDBFC" w14:textId="77777777" w:rsidR="00317B29" w:rsidRPr="00265868" w:rsidRDefault="00317B29" w:rsidP="00C21316">
      <w:pPr>
        <w:contextualSpacing/>
      </w:pPr>
    </w:p>
    <w:p w14:paraId="0F72E5BD" w14:textId="7B553A94" w:rsidR="00165683" w:rsidRDefault="00165683" w:rsidP="00165683">
      <w:pPr>
        <w:contextualSpacing/>
      </w:pPr>
      <w:r w:rsidRPr="00265868">
        <w:rPr>
          <w:lang w:bidi="he-IL"/>
        </w:rPr>
        <w:t>R</w:t>
      </w:r>
      <w:r w:rsidRPr="00265868">
        <w:t>esponding to the requirement</w:t>
      </w:r>
      <w:r>
        <w:t>s set out by the</w:t>
      </w:r>
      <w:r w:rsidRPr="00265868">
        <w:t xml:space="preserve"> United Nations Framework Convention on Climate Change (UNFCCC) Decision 12/CP. 19 paragraphs  3-4, Ghana is expected to submit the most recent Summary of Information (SoI) that describes the country’s overall approach to safeguards implementation, and in particular, how the seven </w:t>
      </w:r>
      <w:r w:rsidR="00553E1C">
        <w:t>Cancun</w:t>
      </w:r>
      <w:r w:rsidR="00036A7C">
        <w:t xml:space="preserve"> safegaurds</w:t>
      </w:r>
      <w:r w:rsidRPr="00F471D8">
        <w:rPr>
          <w:vertAlign w:val="superscript"/>
        </w:rPr>
        <w:footnoteReference w:id="1"/>
      </w:r>
      <w:r w:rsidRPr="00F471D8">
        <w:rPr>
          <w:vertAlign w:val="superscript"/>
        </w:rPr>
        <w:t xml:space="preserve"> </w:t>
      </w:r>
      <w:r w:rsidRPr="00265868">
        <w:t>have been addressed and respected.</w:t>
      </w:r>
    </w:p>
    <w:p w14:paraId="01E879AF" w14:textId="77777777" w:rsidR="00165683" w:rsidRDefault="00165683" w:rsidP="00165683">
      <w:pPr>
        <w:contextualSpacing/>
      </w:pPr>
    </w:p>
    <w:p w14:paraId="613347D5" w14:textId="595FBB54" w:rsidR="00265868" w:rsidRDefault="00317B29" w:rsidP="004E65C7">
      <w:pPr>
        <w:contextualSpacing/>
      </w:pPr>
      <w:r>
        <w:t>The</w:t>
      </w:r>
      <w:r w:rsidR="00265868" w:rsidRPr="00265868">
        <w:t xml:space="preserve"> </w:t>
      </w:r>
      <w:r w:rsidR="00265868" w:rsidRPr="00265868">
        <w:rPr>
          <w:b/>
        </w:rPr>
        <w:t>objective</w:t>
      </w:r>
      <w:r>
        <w:t xml:space="preserve"> of this document is</w:t>
      </w:r>
      <w:r w:rsidR="00265868" w:rsidRPr="00265868">
        <w:t xml:space="preserve"> to provide an initial SoI that describes Ghana’s overall approach to safeguards implementation </w:t>
      </w:r>
      <w:r w:rsidR="00165683">
        <w:t>and</w:t>
      </w:r>
      <w:r w:rsidR="00265868" w:rsidRPr="00265868">
        <w:t xml:space="preserve"> </w:t>
      </w:r>
      <w:r w:rsidR="00165683">
        <w:t>reporting</w:t>
      </w:r>
      <w:r w:rsidR="00265868" w:rsidRPr="00265868">
        <w:t xml:space="preserve">, reflecting the objective of Ghana’s approach to safeguards, </w:t>
      </w:r>
      <w:r w:rsidR="00265868" w:rsidRPr="00265868">
        <w:rPr>
          <w:b/>
        </w:rPr>
        <w:t xml:space="preserve">which is to comply with UNFCCC, FCPF and other </w:t>
      </w:r>
      <w:r>
        <w:rPr>
          <w:b/>
        </w:rPr>
        <w:t>d</w:t>
      </w:r>
      <w:r w:rsidR="00265868" w:rsidRPr="00265868">
        <w:rPr>
          <w:b/>
        </w:rPr>
        <w:t xml:space="preserve">onor  safeguard requirements as </w:t>
      </w:r>
      <w:r w:rsidR="000B0F86">
        <w:rPr>
          <w:b/>
        </w:rPr>
        <w:t xml:space="preserve">deemed </w:t>
      </w:r>
      <w:r w:rsidR="00265868" w:rsidRPr="00265868">
        <w:rPr>
          <w:b/>
        </w:rPr>
        <w:t>appropriate</w:t>
      </w:r>
      <w:r w:rsidR="00265868" w:rsidRPr="00265868">
        <w:t xml:space="preserve">. </w:t>
      </w:r>
    </w:p>
    <w:p w14:paraId="5F98040E" w14:textId="77777777" w:rsidR="00317B29" w:rsidRPr="00265868" w:rsidRDefault="00317B29" w:rsidP="004E65C7">
      <w:pPr>
        <w:contextualSpacing/>
      </w:pPr>
    </w:p>
    <w:p w14:paraId="4C6E54FB" w14:textId="77777777" w:rsidR="009C3864" w:rsidRDefault="00317B29" w:rsidP="002B279A">
      <w:pPr>
        <w:rPr>
          <w:rFonts w:cs="Arial"/>
        </w:rPr>
      </w:pPr>
      <w:r>
        <w:t>T</w:t>
      </w:r>
      <w:r w:rsidR="00265868" w:rsidRPr="00265868">
        <w:t xml:space="preserve">he </w:t>
      </w:r>
      <w:r>
        <w:t xml:space="preserve">scope of the </w:t>
      </w:r>
      <w:r w:rsidR="00265868" w:rsidRPr="00265868">
        <w:t>SoI is to provide information on how Ghana’s interpretation of the Cancun safeguards have been addressed and respected throughout the implementation of REDD+</w:t>
      </w:r>
      <w:r w:rsidR="004563BB">
        <w:t xml:space="preserve"> interventions</w:t>
      </w:r>
      <w:r w:rsidR="00265868" w:rsidRPr="00265868">
        <w:t xml:space="preserve">. This initial SoI, is prepared prior to REDD+ implementation and therefore only provides information on the measures in </w:t>
      </w:r>
      <w:r w:rsidR="00265868" w:rsidRPr="00FF02E9">
        <w:t>place in Ghana, rather than of the outcomes of implementation</w:t>
      </w:r>
      <w:r w:rsidR="007F2B2F" w:rsidRPr="00FF02E9">
        <w:t>, and brief descriptions</w:t>
      </w:r>
      <w:r w:rsidR="00B773E2" w:rsidRPr="00FF02E9">
        <w:t xml:space="preserve"> of initial pilots.</w:t>
      </w:r>
      <w:r w:rsidR="00F8310C" w:rsidRPr="00FF02E9">
        <w:t xml:space="preserve"> </w:t>
      </w:r>
      <w:r w:rsidR="00FF02E9" w:rsidRPr="00C21316">
        <w:t xml:space="preserve">It is anticipated that subsequent </w:t>
      </w:r>
      <w:r w:rsidR="00885904">
        <w:t>SOIs</w:t>
      </w:r>
      <w:r w:rsidR="00FF02E9" w:rsidRPr="00C21316">
        <w:t xml:space="preserve"> will provide information on how these measures have been implemented, and will provide comprehensive information on how REDD+ safeguards are being addressed and respected in Ghana as a basis for accessing UNFCCC results-based payments</w:t>
      </w:r>
      <w:r w:rsidR="00FF02E9" w:rsidRPr="00FF02E9">
        <w:t>.</w:t>
      </w:r>
      <w:r w:rsidR="00885904">
        <w:t xml:space="preserve"> </w:t>
      </w:r>
      <w:r w:rsidR="001A75B2">
        <w:rPr>
          <w:rFonts w:cs="Arial"/>
        </w:rPr>
        <w:t xml:space="preserve">Thus this was done within a format which will enable easier insertion of updates as Ghana progresses on the path to full REDD+ implementation and throughout the life cycle of relevant interventions.  </w:t>
      </w:r>
    </w:p>
    <w:p w14:paraId="1F7F8686" w14:textId="77777777" w:rsidR="009C3864" w:rsidRDefault="009C3864" w:rsidP="002B279A">
      <w:pPr>
        <w:rPr>
          <w:rFonts w:cs="Arial"/>
        </w:rPr>
      </w:pPr>
    </w:p>
    <w:p w14:paraId="590702BE" w14:textId="6053D972" w:rsidR="00D17E07" w:rsidRPr="00CB2FFD" w:rsidRDefault="00F8310C" w:rsidP="002B279A">
      <w:pPr>
        <w:rPr>
          <w:rFonts w:eastAsia="Arial" w:cs="Arial"/>
          <w:b/>
          <w:bCs/>
          <w:color w:val="000000" w:themeColor="text1"/>
        </w:rPr>
      </w:pPr>
      <w:r w:rsidRPr="00F662CF">
        <w:t xml:space="preserve">The submission and public dissemination of the </w:t>
      </w:r>
      <w:r>
        <w:t>SoI</w:t>
      </w:r>
      <w:r w:rsidRPr="00F662CF">
        <w:t xml:space="preserve"> at this stage also provides an opportunity for </w:t>
      </w:r>
      <w:r>
        <w:t>Ghana</w:t>
      </w:r>
      <w:r w:rsidRPr="00F662CF">
        <w:t xml:space="preserve"> to receive feedback and recommendations from the UNFCCC and key related stakeholders both within and outside of the country. </w:t>
      </w:r>
    </w:p>
    <w:p w14:paraId="19CFC01A" w14:textId="77777777" w:rsidR="00F576E0" w:rsidRDefault="00F576E0" w:rsidP="00D17E07">
      <w:pPr>
        <w:rPr>
          <w:rFonts w:eastAsia="Arial" w:cs="Arial"/>
          <w:bCs/>
          <w:color w:val="000000" w:themeColor="text1"/>
        </w:rPr>
      </w:pPr>
    </w:p>
    <w:p w14:paraId="38431064" w14:textId="0D9CF027" w:rsidR="001E403F" w:rsidRPr="00CB2FFD" w:rsidRDefault="00D17E07" w:rsidP="001E403F">
      <w:pPr>
        <w:rPr>
          <w:rFonts w:eastAsia="Arial" w:cs="Arial"/>
          <w:b/>
          <w:bCs/>
          <w:color w:val="000000" w:themeColor="text1"/>
        </w:rPr>
      </w:pPr>
      <w:r w:rsidRPr="00CB2FFD">
        <w:rPr>
          <w:rFonts w:eastAsia="Arial" w:cs="Arial"/>
          <w:bCs/>
          <w:color w:val="000000" w:themeColor="text1"/>
        </w:rPr>
        <w:t xml:space="preserve">The report is structured </w:t>
      </w:r>
      <w:r w:rsidR="000B0F86">
        <w:rPr>
          <w:rFonts w:eastAsia="Arial" w:cs="Arial"/>
          <w:bCs/>
          <w:color w:val="000000" w:themeColor="text1"/>
        </w:rPr>
        <w:t>as follows</w:t>
      </w:r>
      <w:r w:rsidRPr="00CB2FFD">
        <w:rPr>
          <w:rFonts w:eastAsia="Arial" w:cs="Arial"/>
          <w:bCs/>
          <w:color w:val="000000" w:themeColor="text1"/>
        </w:rPr>
        <w:t>:</w:t>
      </w:r>
    </w:p>
    <w:p w14:paraId="30A43A6D" w14:textId="77777777" w:rsidR="00D17E07" w:rsidRPr="00CB2FFD" w:rsidRDefault="00D17E07" w:rsidP="00D17E07">
      <w:pPr>
        <w:rPr>
          <w:rFonts w:eastAsia="Arial" w:cs="Arial"/>
          <w:bCs/>
          <w:color w:val="000000" w:themeColor="text1"/>
        </w:rPr>
      </w:pPr>
    </w:p>
    <w:p w14:paraId="27623B98" w14:textId="77777777" w:rsidR="00D17E07" w:rsidRPr="00CB2FFD" w:rsidRDefault="00D17E07" w:rsidP="0039326F">
      <w:pPr>
        <w:numPr>
          <w:ilvl w:val="0"/>
          <w:numId w:val="2"/>
        </w:numPr>
        <w:spacing w:after="120"/>
        <w:rPr>
          <w:rFonts w:eastAsia="Arial" w:cs="Arial"/>
          <w:b/>
          <w:bCs/>
          <w:color w:val="000000" w:themeColor="text1"/>
        </w:rPr>
      </w:pPr>
      <w:r w:rsidRPr="00CB2FFD">
        <w:rPr>
          <w:rFonts w:eastAsia="Arial" w:cs="Arial"/>
          <w:b/>
          <w:bCs/>
          <w:color w:val="000000" w:themeColor="text1"/>
        </w:rPr>
        <w:t>Part I: Introduction</w:t>
      </w:r>
    </w:p>
    <w:p w14:paraId="7E950171" w14:textId="72564F09" w:rsidR="00D17E07" w:rsidRDefault="00D17E07" w:rsidP="00D17E07">
      <w:pPr>
        <w:ind w:left="720"/>
        <w:rPr>
          <w:rFonts w:eastAsia="Arial" w:cs="Arial"/>
          <w:bCs/>
          <w:color w:val="000000" w:themeColor="text1"/>
        </w:rPr>
      </w:pPr>
      <w:r w:rsidRPr="00CB2FFD">
        <w:rPr>
          <w:rFonts w:eastAsia="Arial" w:cs="Arial"/>
          <w:bCs/>
          <w:color w:val="000000" w:themeColor="text1"/>
        </w:rPr>
        <w:t xml:space="preserve">Provides an </w:t>
      </w:r>
      <w:r w:rsidR="00165683">
        <w:rPr>
          <w:rFonts w:eastAsia="Arial" w:cs="Arial"/>
          <w:bCs/>
          <w:color w:val="000000" w:themeColor="text1"/>
        </w:rPr>
        <w:t xml:space="preserve">overview </w:t>
      </w:r>
      <w:r w:rsidRPr="00CB2FFD">
        <w:rPr>
          <w:rFonts w:eastAsia="Arial" w:cs="Arial"/>
          <w:bCs/>
          <w:color w:val="000000" w:themeColor="text1"/>
        </w:rPr>
        <w:t xml:space="preserve">of </w:t>
      </w:r>
      <w:r w:rsidR="00726791">
        <w:rPr>
          <w:rFonts w:eastAsia="Arial" w:cs="Arial"/>
          <w:bCs/>
          <w:color w:val="000000" w:themeColor="text1"/>
        </w:rPr>
        <w:t>Ghana</w:t>
      </w:r>
      <w:r w:rsidRPr="00CB2FFD">
        <w:rPr>
          <w:rFonts w:eastAsia="Arial" w:cs="Arial"/>
          <w:bCs/>
          <w:color w:val="000000" w:themeColor="text1"/>
        </w:rPr>
        <w:t xml:space="preserve">’s REDD+ Strategy; and activities carried out so far by </w:t>
      </w:r>
      <w:r w:rsidR="00726791">
        <w:rPr>
          <w:rFonts w:eastAsia="Arial" w:cs="Arial"/>
          <w:bCs/>
          <w:color w:val="000000" w:themeColor="text1"/>
        </w:rPr>
        <w:t>Ghana</w:t>
      </w:r>
      <w:r w:rsidRPr="00CB2FFD">
        <w:rPr>
          <w:rFonts w:eastAsia="Arial" w:cs="Arial"/>
          <w:bCs/>
          <w:color w:val="000000" w:themeColor="text1"/>
        </w:rPr>
        <w:t xml:space="preserve"> to meet UNFCCC and Forest Carbon Partnership Facility (FCPF) safeguard requirements. </w:t>
      </w:r>
    </w:p>
    <w:p w14:paraId="0FEEB0DF" w14:textId="77777777" w:rsidR="00D62B02" w:rsidRPr="00CB2FFD" w:rsidRDefault="00D62B02" w:rsidP="00D17E07">
      <w:pPr>
        <w:ind w:left="720"/>
        <w:rPr>
          <w:rFonts w:eastAsia="Arial" w:cs="Arial"/>
          <w:bCs/>
          <w:color w:val="000000" w:themeColor="text1"/>
        </w:rPr>
      </w:pPr>
    </w:p>
    <w:p w14:paraId="35655A57" w14:textId="61A7EF93" w:rsidR="00D17E07" w:rsidRPr="00CB2FFD" w:rsidRDefault="00D17E07" w:rsidP="0039326F">
      <w:pPr>
        <w:numPr>
          <w:ilvl w:val="0"/>
          <w:numId w:val="2"/>
        </w:numPr>
        <w:spacing w:after="120"/>
        <w:rPr>
          <w:rFonts w:eastAsia="Arial" w:cs="Arial"/>
          <w:b/>
          <w:bCs/>
          <w:color w:val="000000" w:themeColor="text1"/>
        </w:rPr>
      </w:pPr>
      <w:r w:rsidRPr="00CB2FFD">
        <w:rPr>
          <w:rFonts w:eastAsia="Arial" w:cs="Arial"/>
          <w:b/>
          <w:bCs/>
          <w:color w:val="000000" w:themeColor="text1"/>
        </w:rPr>
        <w:t xml:space="preserve">Part II: </w:t>
      </w:r>
      <w:r w:rsidR="00D62B02" w:rsidRPr="00D62B02">
        <w:rPr>
          <w:rFonts w:eastAsia="Arial" w:cs="Arial"/>
          <w:b/>
          <w:bCs/>
          <w:color w:val="000000" w:themeColor="text1"/>
        </w:rPr>
        <w:t xml:space="preserve">National circumstances and REDD+ </w:t>
      </w:r>
      <w:r w:rsidR="00165683">
        <w:rPr>
          <w:rFonts w:eastAsia="Arial" w:cs="Arial"/>
          <w:b/>
          <w:bCs/>
          <w:color w:val="000000" w:themeColor="text1"/>
        </w:rPr>
        <w:t>Safeguards A</w:t>
      </w:r>
      <w:r w:rsidR="00D62B02" w:rsidRPr="00D62B02">
        <w:rPr>
          <w:rFonts w:eastAsia="Arial" w:cs="Arial"/>
          <w:b/>
          <w:bCs/>
          <w:color w:val="000000" w:themeColor="text1"/>
        </w:rPr>
        <w:t>pproach</w:t>
      </w:r>
    </w:p>
    <w:p w14:paraId="0C47930D" w14:textId="03DE7AC2" w:rsidR="00D17E07" w:rsidRDefault="00D17E07" w:rsidP="00D17E07">
      <w:pPr>
        <w:ind w:left="720"/>
        <w:rPr>
          <w:rFonts w:eastAsia="Arial" w:cs="Arial"/>
          <w:bCs/>
          <w:color w:val="000000" w:themeColor="text1"/>
        </w:rPr>
      </w:pPr>
      <w:r w:rsidRPr="00CB2FFD">
        <w:rPr>
          <w:rFonts w:eastAsia="Arial" w:cs="Arial"/>
          <w:bCs/>
          <w:color w:val="000000" w:themeColor="text1"/>
        </w:rPr>
        <w:t xml:space="preserve">Provides </w:t>
      </w:r>
      <w:r w:rsidR="002B279A">
        <w:rPr>
          <w:rFonts w:eastAsia="Arial" w:cs="Arial"/>
          <w:bCs/>
          <w:color w:val="000000" w:themeColor="text1"/>
        </w:rPr>
        <w:t xml:space="preserve">an overview of the country’s approach to REDD+ safeguards, and </w:t>
      </w:r>
      <w:r w:rsidRPr="00CB2FFD">
        <w:rPr>
          <w:rFonts w:eastAsia="Arial" w:cs="Arial"/>
          <w:bCs/>
          <w:color w:val="000000" w:themeColor="text1"/>
        </w:rPr>
        <w:t>the interpretation of the UNFCCC REDD+ safeguards in accordance with the country context</w:t>
      </w:r>
      <w:r w:rsidR="002B279A">
        <w:rPr>
          <w:rFonts w:eastAsia="Arial" w:cs="Arial"/>
          <w:bCs/>
          <w:color w:val="000000" w:themeColor="text1"/>
        </w:rPr>
        <w:t>.</w:t>
      </w:r>
    </w:p>
    <w:p w14:paraId="7EEF13E1" w14:textId="77777777" w:rsidR="00D62B02" w:rsidRPr="00CB2FFD" w:rsidRDefault="00D62B02" w:rsidP="00D17E07">
      <w:pPr>
        <w:ind w:left="720"/>
        <w:rPr>
          <w:rFonts w:eastAsia="Arial" w:cs="Arial"/>
          <w:bCs/>
          <w:color w:val="000000" w:themeColor="text1"/>
        </w:rPr>
      </w:pPr>
    </w:p>
    <w:p w14:paraId="30E10C3A" w14:textId="69FFAFA5" w:rsidR="00D17E07" w:rsidRPr="00CB2FFD" w:rsidRDefault="00D17E07" w:rsidP="0039326F">
      <w:pPr>
        <w:numPr>
          <w:ilvl w:val="0"/>
          <w:numId w:val="2"/>
        </w:numPr>
        <w:spacing w:after="120"/>
        <w:rPr>
          <w:rFonts w:eastAsia="Arial" w:cs="Arial"/>
          <w:b/>
          <w:bCs/>
          <w:color w:val="000000" w:themeColor="text1"/>
        </w:rPr>
      </w:pPr>
      <w:r w:rsidRPr="00CB2FFD">
        <w:rPr>
          <w:rFonts w:eastAsia="Arial" w:cs="Arial"/>
          <w:b/>
          <w:bCs/>
          <w:color w:val="000000" w:themeColor="text1"/>
        </w:rPr>
        <w:t xml:space="preserve">Part III: </w:t>
      </w:r>
      <w:r w:rsidR="00D62B02" w:rsidRPr="00D62B02">
        <w:rPr>
          <w:rFonts w:eastAsia="Arial" w:cs="Arial"/>
          <w:b/>
          <w:bCs/>
          <w:color w:val="000000" w:themeColor="text1"/>
        </w:rPr>
        <w:t>Measures in place to address the safeguards</w:t>
      </w:r>
    </w:p>
    <w:p w14:paraId="63928E47" w14:textId="09BE4B47" w:rsidR="00D62B02" w:rsidRDefault="00D62B02" w:rsidP="00D62B02">
      <w:pPr>
        <w:ind w:left="720"/>
        <w:rPr>
          <w:rFonts w:eastAsia="Arial" w:cs="Arial"/>
          <w:bCs/>
          <w:color w:val="000000" w:themeColor="text1"/>
          <w:lang w:val="en-US"/>
        </w:rPr>
      </w:pPr>
      <w:r w:rsidRPr="00C21316">
        <w:rPr>
          <w:rFonts w:eastAsia="Arial" w:cs="Arial"/>
          <w:bCs/>
          <w:color w:val="000000" w:themeColor="text1"/>
        </w:rPr>
        <w:t xml:space="preserve">Provides </w:t>
      </w:r>
      <w:r>
        <w:rPr>
          <w:rFonts w:eastAsia="Arial" w:cs="Arial"/>
          <w:bCs/>
          <w:color w:val="000000" w:themeColor="text1"/>
        </w:rPr>
        <w:t>a d</w:t>
      </w:r>
      <w:r w:rsidRPr="00D62B02">
        <w:rPr>
          <w:rFonts w:eastAsia="Arial" w:cs="Arial"/>
          <w:bCs/>
          <w:color w:val="000000" w:themeColor="text1"/>
        </w:rPr>
        <w:t>escription of the relevant P</w:t>
      </w:r>
      <w:r w:rsidR="008A15B2">
        <w:rPr>
          <w:rFonts w:eastAsia="Arial" w:cs="Arial"/>
          <w:bCs/>
          <w:color w:val="000000" w:themeColor="text1"/>
        </w:rPr>
        <w:t>olicies, laws and regulations (PLRs) and</w:t>
      </w:r>
      <w:r>
        <w:rPr>
          <w:rFonts w:eastAsia="Arial" w:cs="Arial"/>
          <w:bCs/>
          <w:color w:val="000000" w:themeColor="text1"/>
        </w:rPr>
        <w:t xml:space="preserve"> institutional arrangements</w:t>
      </w:r>
      <w:r w:rsidR="0078614A">
        <w:rPr>
          <w:rFonts w:eastAsia="Arial" w:cs="Arial"/>
          <w:bCs/>
          <w:color w:val="000000" w:themeColor="text1"/>
        </w:rPr>
        <w:t>.</w:t>
      </w:r>
    </w:p>
    <w:p w14:paraId="315E2813" w14:textId="77777777" w:rsidR="00772A4B" w:rsidRPr="00C21316" w:rsidRDefault="00772A4B" w:rsidP="00C21316">
      <w:pPr>
        <w:rPr>
          <w:rFonts w:eastAsia="Arial" w:cs="Arial"/>
          <w:bCs/>
          <w:color w:val="000000" w:themeColor="text1"/>
          <w:lang w:val="en-US"/>
        </w:rPr>
      </w:pPr>
    </w:p>
    <w:p w14:paraId="595581FD" w14:textId="77777777" w:rsidR="00356BDC" w:rsidRPr="00C21316" w:rsidRDefault="00363ACA" w:rsidP="0039326F">
      <w:pPr>
        <w:pStyle w:val="ListParagraph"/>
        <w:numPr>
          <w:ilvl w:val="0"/>
          <w:numId w:val="2"/>
        </w:numPr>
        <w:rPr>
          <w:rFonts w:eastAsia="Arial" w:cs="Arial"/>
          <w:bCs/>
          <w:color w:val="000000" w:themeColor="text1"/>
        </w:rPr>
      </w:pPr>
      <w:r>
        <w:rPr>
          <w:rFonts w:eastAsia="Arial" w:cs="Arial"/>
          <w:b/>
          <w:color w:val="000000" w:themeColor="text1"/>
        </w:rPr>
        <w:t xml:space="preserve">Part </w:t>
      </w:r>
      <w:r w:rsidR="0091663D">
        <w:rPr>
          <w:rFonts w:eastAsia="Arial" w:cs="Arial"/>
          <w:b/>
          <w:color w:val="000000" w:themeColor="text1"/>
        </w:rPr>
        <w:t>I</w:t>
      </w:r>
      <w:r>
        <w:rPr>
          <w:rFonts w:eastAsia="Arial" w:cs="Arial"/>
          <w:b/>
          <w:color w:val="000000" w:themeColor="text1"/>
        </w:rPr>
        <w:t xml:space="preserve">V: </w:t>
      </w:r>
      <w:r w:rsidR="00772A4B">
        <w:rPr>
          <w:rFonts w:eastAsia="Arial" w:cs="Arial"/>
          <w:b/>
          <w:color w:val="000000" w:themeColor="text1"/>
        </w:rPr>
        <w:t>How the safeguards have been respected</w:t>
      </w:r>
    </w:p>
    <w:p w14:paraId="394B6C8B" w14:textId="3B2FB4DA" w:rsidR="00120C78" w:rsidRDefault="006A5D10" w:rsidP="00C21316">
      <w:pPr>
        <w:pStyle w:val="ListParagraph"/>
      </w:pPr>
      <w:r>
        <w:rPr>
          <w:rFonts w:eastAsia="Arial" w:cs="Arial"/>
          <w:b/>
          <w:color w:val="000000" w:themeColor="text1"/>
        </w:rPr>
        <w:br/>
      </w:r>
      <w:r w:rsidR="0078366C">
        <w:t xml:space="preserve">This section </w:t>
      </w:r>
      <w:r w:rsidR="00AA53B3">
        <w:t>outlines</w:t>
      </w:r>
      <w:r w:rsidR="0078614A">
        <w:t xml:space="preserve"> the</w:t>
      </w:r>
      <w:r w:rsidR="0078366C">
        <w:t xml:space="preserve"> SIS information needs</w:t>
      </w:r>
      <w:r w:rsidR="0078614A">
        <w:t>, which determine</w:t>
      </w:r>
      <w:r w:rsidR="0078366C">
        <w:t xml:space="preserve"> the types of information </w:t>
      </w:r>
      <w:r w:rsidR="0078614A">
        <w:t xml:space="preserve">that will be </w:t>
      </w:r>
      <w:r w:rsidR="0078366C">
        <w:t>gathered to demonstrate how safeguards are being respected</w:t>
      </w:r>
      <w:r w:rsidR="0078614A">
        <w:t>.  As noted above, t</w:t>
      </w:r>
      <w:r w:rsidR="0078614A" w:rsidRPr="00265868">
        <w:t xml:space="preserve">his </w:t>
      </w:r>
      <w:r w:rsidR="0078614A" w:rsidRPr="00265868">
        <w:lastRenderedPageBreak/>
        <w:t xml:space="preserve">initial SoI, is prepared prior to REDD+ implementation and therefore only provides information on the </w:t>
      </w:r>
      <w:r w:rsidR="0078614A">
        <w:t>information needs to be utilized</w:t>
      </w:r>
      <w:r w:rsidR="0078614A" w:rsidRPr="00A66341">
        <w:t xml:space="preserve">, rather than of the </w:t>
      </w:r>
      <w:r w:rsidR="00C86BDD">
        <w:t>actual informat</w:t>
      </w:r>
      <w:r w:rsidR="0078614A">
        <w:t xml:space="preserve">ion gathered and </w:t>
      </w:r>
      <w:r w:rsidR="0078614A" w:rsidRPr="00A66341">
        <w:t xml:space="preserve">outcomes of implementation. It is anticipated that subsequent </w:t>
      </w:r>
      <w:r w:rsidR="0078614A">
        <w:t>SOIs</w:t>
      </w:r>
      <w:r w:rsidR="0078614A" w:rsidRPr="00A66341">
        <w:t xml:space="preserve"> will provide information </w:t>
      </w:r>
      <w:r w:rsidR="0078614A">
        <w:t>structured in relation to these information needs</w:t>
      </w:r>
      <w:r w:rsidR="0078614A" w:rsidRPr="00A66341">
        <w:t xml:space="preserve"> as a basis for accessing UNFCCC results-based payments.</w:t>
      </w:r>
      <w:r w:rsidR="0078614A">
        <w:t xml:space="preserve"> </w:t>
      </w:r>
    </w:p>
    <w:p w14:paraId="04643373" w14:textId="13167FC6" w:rsidR="0091663D" w:rsidRDefault="0091663D" w:rsidP="00D17E07">
      <w:pPr>
        <w:ind w:left="720"/>
        <w:rPr>
          <w:rFonts w:eastAsia="Arial" w:cs="Arial"/>
          <w:bCs/>
          <w:color w:val="000000" w:themeColor="text1"/>
        </w:rPr>
      </w:pPr>
    </w:p>
    <w:p w14:paraId="09A9D8A1" w14:textId="77658AB4" w:rsidR="0091663D" w:rsidRDefault="0091663D" w:rsidP="0039326F">
      <w:pPr>
        <w:pStyle w:val="ListParagraph"/>
        <w:numPr>
          <w:ilvl w:val="0"/>
          <w:numId w:val="2"/>
        </w:numPr>
        <w:rPr>
          <w:rFonts w:eastAsia="Arial" w:cs="Arial"/>
          <w:b/>
          <w:bCs/>
          <w:color w:val="000000" w:themeColor="text1"/>
        </w:rPr>
      </w:pPr>
      <w:r w:rsidRPr="001F65EB">
        <w:rPr>
          <w:rFonts w:eastAsia="Arial" w:cs="Arial"/>
          <w:b/>
          <w:bCs/>
          <w:color w:val="000000" w:themeColor="text1"/>
        </w:rPr>
        <w:t xml:space="preserve">Part V: </w:t>
      </w:r>
      <w:r w:rsidRPr="00F030C3">
        <w:rPr>
          <w:rFonts w:eastAsia="Arial" w:cs="Arial"/>
          <w:b/>
          <w:bCs/>
          <w:color w:val="000000" w:themeColor="text1"/>
        </w:rPr>
        <w:t xml:space="preserve">How information about safeguard’s implementation is being gathered and reported: Ghana’s SIS   </w:t>
      </w:r>
    </w:p>
    <w:p w14:paraId="0D871574" w14:textId="77777777" w:rsidR="008A15B2" w:rsidRPr="00F030C3" w:rsidRDefault="008A15B2" w:rsidP="00C21316">
      <w:pPr>
        <w:pStyle w:val="ListParagraph"/>
        <w:rPr>
          <w:rFonts w:eastAsia="Arial" w:cs="Arial"/>
          <w:b/>
          <w:bCs/>
          <w:color w:val="000000" w:themeColor="text1"/>
        </w:rPr>
      </w:pPr>
    </w:p>
    <w:p w14:paraId="53E85C4C" w14:textId="33E9ED75" w:rsidR="0091663D" w:rsidRDefault="0091663D" w:rsidP="0091663D">
      <w:pPr>
        <w:ind w:left="720"/>
        <w:rPr>
          <w:rFonts w:eastAsia="Arial" w:cs="Arial"/>
          <w:bCs/>
          <w:color w:val="000000" w:themeColor="text1"/>
        </w:rPr>
      </w:pPr>
      <w:r w:rsidRPr="00CB2FFD">
        <w:rPr>
          <w:rFonts w:eastAsia="Arial" w:cs="Arial"/>
          <w:bCs/>
          <w:color w:val="000000" w:themeColor="text1"/>
        </w:rPr>
        <w:t>Provides information about the design of the safeguard information system (SIS)</w:t>
      </w:r>
      <w:r w:rsidR="004F3C02">
        <w:rPr>
          <w:rFonts w:eastAsia="Arial" w:cs="Arial"/>
          <w:bCs/>
          <w:color w:val="000000" w:themeColor="text1"/>
        </w:rPr>
        <w:t>.</w:t>
      </w:r>
    </w:p>
    <w:p w14:paraId="596607A6" w14:textId="663F8E61" w:rsidR="00630EA9" w:rsidRDefault="00630EA9" w:rsidP="008938D6"/>
    <w:p w14:paraId="2F45FE53" w14:textId="3AD06C32" w:rsidR="008938D6" w:rsidRPr="00C21316" w:rsidRDefault="008938D6" w:rsidP="0039326F">
      <w:pPr>
        <w:pStyle w:val="ListParagraph"/>
        <w:numPr>
          <w:ilvl w:val="0"/>
          <w:numId w:val="2"/>
        </w:numPr>
      </w:pPr>
      <w:r>
        <w:rPr>
          <w:b/>
          <w:bCs/>
        </w:rPr>
        <w:t xml:space="preserve">Part VI: </w:t>
      </w:r>
      <w:r w:rsidR="00996BF0">
        <w:rPr>
          <w:b/>
          <w:bCs/>
        </w:rPr>
        <w:t>Compliment</w:t>
      </w:r>
      <w:r w:rsidR="002025A3">
        <w:rPr>
          <w:b/>
          <w:bCs/>
        </w:rPr>
        <w:t>a</w:t>
      </w:r>
      <w:r w:rsidR="00996BF0">
        <w:rPr>
          <w:b/>
          <w:bCs/>
        </w:rPr>
        <w:t>ry</w:t>
      </w:r>
      <w:r>
        <w:rPr>
          <w:b/>
          <w:bCs/>
        </w:rPr>
        <w:t xml:space="preserve"> information</w:t>
      </w:r>
    </w:p>
    <w:p w14:paraId="73E10A8E" w14:textId="382AE07D" w:rsidR="00E13A8A" w:rsidRDefault="00E13A8A" w:rsidP="00E13A8A"/>
    <w:p w14:paraId="1936A040" w14:textId="03747831" w:rsidR="00DA23D9" w:rsidRPr="00DA23D9" w:rsidRDefault="00E13A8A" w:rsidP="00C21316">
      <w:pPr>
        <w:ind w:left="720"/>
      </w:pPr>
      <w:r>
        <w:t>This section includes</w:t>
      </w:r>
      <w:r w:rsidR="00DA23D9">
        <w:t xml:space="preserve"> information about the p</w:t>
      </w:r>
      <w:r w:rsidR="00DA23D9" w:rsidRPr="00DA23D9">
        <w:t xml:space="preserve">rocess followed for preparing the summary of information </w:t>
      </w:r>
      <w:r w:rsidR="00DA23D9">
        <w:t xml:space="preserve">and consultations carried out. </w:t>
      </w:r>
    </w:p>
    <w:p w14:paraId="5FAE77E9" w14:textId="77777777" w:rsidR="00DA23D9" w:rsidRPr="00DA23D9" w:rsidRDefault="00DA23D9" w:rsidP="00DA23D9">
      <w:pPr>
        <w:ind w:left="720"/>
      </w:pPr>
    </w:p>
    <w:p w14:paraId="3A405C72" w14:textId="74B28A85" w:rsidR="00630EA9" w:rsidRDefault="00630EA9" w:rsidP="00630EA9"/>
    <w:p w14:paraId="503EBAEC" w14:textId="1ECB8A4F" w:rsidR="00B61553" w:rsidRDefault="007314DC" w:rsidP="00CA4C8B">
      <w:pPr>
        <w:autoSpaceDE w:val="0"/>
        <w:autoSpaceDN w:val="0"/>
        <w:adjustRightInd w:val="0"/>
        <w:rPr>
          <w:rFonts w:eastAsia="Calibri" w:cs="HelveticaNeueLTCom-Lt"/>
        </w:rPr>
      </w:pPr>
      <w:r>
        <w:rPr>
          <w:rFonts w:eastAsia="Calibri" w:cs="HelveticaNeueLTCom-Lt"/>
        </w:rPr>
        <w:t xml:space="preserve"> </w:t>
      </w:r>
    </w:p>
    <w:p w14:paraId="2BA7C9BD" w14:textId="77777777" w:rsidR="00E34A02" w:rsidRDefault="00E34A02" w:rsidP="00CA4C8B">
      <w:pPr>
        <w:autoSpaceDE w:val="0"/>
        <w:autoSpaceDN w:val="0"/>
        <w:adjustRightInd w:val="0"/>
        <w:rPr>
          <w:rFonts w:eastAsia="Calibri" w:cs="HelveticaNeueLTCom-Lt"/>
        </w:rPr>
      </w:pPr>
    </w:p>
    <w:p w14:paraId="7B6F039B" w14:textId="77777777" w:rsidR="002025A3" w:rsidRDefault="002025A3" w:rsidP="00CA4C8B">
      <w:pPr>
        <w:autoSpaceDE w:val="0"/>
        <w:autoSpaceDN w:val="0"/>
        <w:adjustRightInd w:val="0"/>
        <w:rPr>
          <w:rFonts w:asciiTheme="majorHAnsi" w:eastAsia="Calibri" w:hAnsiTheme="majorHAnsi" w:cs="HelveticaNeueLTCom-Lt"/>
          <w:b/>
          <w:bCs/>
          <w:sz w:val="28"/>
          <w:szCs w:val="28"/>
        </w:rPr>
        <w:sectPr w:rsidR="002025A3" w:rsidSect="00847229">
          <w:pgSz w:w="11900" w:h="16840"/>
          <w:pgMar w:top="1440" w:right="1440" w:bottom="1440" w:left="1440" w:header="720" w:footer="720" w:gutter="0"/>
          <w:cols w:space="720"/>
          <w:docGrid w:linePitch="360"/>
        </w:sectPr>
      </w:pPr>
    </w:p>
    <w:p w14:paraId="69151696" w14:textId="4D64E710" w:rsidR="002025A3" w:rsidRDefault="002025A3" w:rsidP="003E2921">
      <w:pPr>
        <w:pStyle w:val="Heading1"/>
        <w:rPr>
          <w:rFonts w:eastAsia="Calibri"/>
        </w:rPr>
      </w:pPr>
      <w:bookmarkStart w:id="2" w:name="_Toc523385919"/>
      <w:r>
        <w:rPr>
          <w:rFonts w:eastAsia="Calibri"/>
        </w:rPr>
        <w:lastRenderedPageBreak/>
        <w:t>Part I: Introduction</w:t>
      </w:r>
      <w:bookmarkEnd w:id="2"/>
    </w:p>
    <w:p w14:paraId="74ECA45F" w14:textId="77777777" w:rsidR="002025A3" w:rsidRDefault="002025A3" w:rsidP="00CA4C8B">
      <w:pPr>
        <w:autoSpaceDE w:val="0"/>
        <w:autoSpaceDN w:val="0"/>
        <w:adjustRightInd w:val="0"/>
        <w:rPr>
          <w:rFonts w:asciiTheme="majorHAnsi" w:eastAsia="Calibri" w:hAnsiTheme="majorHAnsi" w:cs="HelveticaNeueLTCom-Lt"/>
          <w:b/>
          <w:bCs/>
          <w:sz w:val="28"/>
          <w:szCs w:val="28"/>
        </w:rPr>
      </w:pPr>
    </w:p>
    <w:p w14:paraId="227E23C1" w14:textId="0BE8A771" w:rsidR="004F4F36" w:rsidRDefault="00E34A02" w:rsidP="00C21316">
      <w:pPr>
        <w:pStyle w:val="Heading2"/>
        <w:rPr>
          <w:rFonts w:eastAsia="Calibri"/>
        </w:rPr>
      </w:pPr>
      <w:bookmarkStart w:id="3" w:name="_Toc523385920"/>
      <w:r w:rsidRPr="003E2921">
        <w:rPr>
          <w:rFonts w:eastAsia="Calibri"/>
        </w:rPr>
        <w:t xml:space="preserve">Overview of </w:t>
      </w:r>
      <w:r w:rsidR="00D3653D">
        <w:rPr>
          <w:rFonts w:eastAsia="Calibri"/>
        </w:rPr>
        <w:t>Ghana</w:t>
      </w:r>
      <w:r w:rsidR="003E2921">
        <w:rPr>
          <w:rFonts w:eastAsia="Calibri"/>
        </w:rPr>
        <w:t>’s</w:t>
      </w:r>
      <w:r w:rsidRPr="00C21316">
        <w:rPr>
          <w:rFonts w:eastAsia="Calibri"/>
        </w:rPr>
        <w:t xml:space="preserve"> REDD+ Strategy </w:t>
      </w:r>
      <w:r w:rsidRPr="00C21316">
        <w:rPr>
          <w:rFonts w:eastAsia="Calibri"/>
        </w:rPr>
        <w:cr/>
      </w:r>
      <w:bookmarkEnd w:id="3"/>
    </w:p>
    <w:p w14:paraId="3A9884C3" w14:textId="1CE6CE39" w:rsidR="007A080B" w:rsidRDefault="007A080B" w:rsidP="007A080B">
      <w:pPr>
        <w:autoSpaceDE w:val="0"/>
        <w:autoSpaceDN w:val="0"/>
        <w:adjustRightInd w:val="0"/>
        <w:rPr>
          <w:rFonts w:eastAsia="Calibri" w:cs="HelveticaNeueLTCom-Lt"/>
        </w:rPr>
      </w:pPr>
      <w:r w:rsidRPr="00596283">
        <w:rPr>
          <w:rFonts w:eastAsia="Calibri" w:cs="HelveticaNeueLTCom-Lt"/>
        </w:rPr>
        <w:t>Due to Ghana’s high economic dependence on natural resources, the country now has one of the highest deforestation rates in Africa, at 3.</w:t>
      </w:r>
      <w:r w:rsidR="00036A7C">
        <w:rPr>
          <w:rFonts w:eastAsia="Calibri" w:cs="HelveticaNeueLTCom-Lt"/>
        </w:rPr>
        <w:t>6</w:t>
      </w:r>
      <w:r w:rsidRPr="00596283">
        <w:rPr>
          <w:rFonts w:eastAsia="Calibri" w:cs="HelveticaNeueLTCom-Lt"/>
        </w:rPr>
        <w:t>% per annum. Ghana’s deforestation pathway is one of incremental degradation leading to deforestation</w:t>
      </w:r>
      <w:r>
        <w:rPr>
          <w:rFonts w:eastAsia="Calibri" w:cs="HelveticaNeueLTCom-Lt"/>
        </w:rPr>
        <w:t xml:space="preserve">. </w:t>
      </w:r>
    </w:p>
    <w:p w14:paraId="0829F3A7" w14:textId="77777777" w:rsidR="007A080B" w:rsidRDefault="007A080B" w:rsidP="007A080B">
      <w:pPr>
        <w:autoSpaceDE w:val="0"/>
        <w:autoSpaceDN w:val="0"/>
        <w:adjustRightInd w:val="0"/>
        <w:rPr>
          <w:rFonts w:eastAsia="Calibri" w:cs="HelveticaNeueLTCom-Lt"/>
        </w:rPr>
      </w:pPr>
      <w:r>
        <w:rPr>
          <w:rFonts w:eastAsia="Calibri" w:cs="HelveticaNeueLTCom-Lt"/>
        </w:rPr>
        <w:br/>
      </w:r>
      <w:r w:rsidRPr="00343881">
        <w:rPr>
          <w:rFonts w:eastAsia="Calibri" w:cs="HelveticaNeueLTCom-Lt"/>
          <w:b/>
          <w:bCs/>
        </w:rPr>
        <w:t>The principal drivers of deforestation</w:t>
      </w:r>
      <w:r w:rsidRPr="00596283">
        <w:rPr>
          <w:rFonts w:eastAsia="Calibri" w:cs="HelveticaNeueLTCom-Lt"/>
        </w:rPr>
        <w:t xml:space="preserve"> and degradation, in order of relevance,</w:t>
      </w:r>
      <w:r>
        <w:rPr>
          <w:rFonts w:eastAsia="Calibri" w:cs="HelveticaNeueLTCom-Lt"/>
        </w:rPr>
        <w:t xml:space="preserve"> have been identified</w:t>
      </w:r>
      <w:r w:rsidRPr="00596283">
        <w:rPr>
          <w:rFonts w:eastAsia="Calibri" w:cs="HelveticaNeueLTCom-Lt"/>
        </w:rPr>
        <w:t xml:space="preserve"> as including</w:t>
      </w:r>
      <w:r>
        <w:rPr>
          <w:rStyle w:val="FootnoteReference"/>
          <w:rFonts w:eastAsia="Calibri" w:cs="HelveticaNeueLTCom-Lt"/>
        </w:rPr>
        <w:footnoteReference w:id="2"/>
      </w:r>
      <w:r w:rsidRPr="00596283">
        <w:rPr>
          <w:rFonts w:eastAsia="Calibri" w:cs="HelveticaNeueLTCom-Lt"/>
        </w:rPr>
        <w:t xml:space="preserve">:   </w:t>
      </w:r>
    </w:p>
    <w:p w14:paraId="4C74F3BB" w14:textId="77777777" w:rsidR="007A080B" w:rsidRPr="00343881" w:rsidRDefault="007A080B" w:rsidP="0039326F">
      <w:pPr>
        <w:pStyle w:val="ListParagraph"/>
        <w:numPr>
          <w:ilvl w:val="0"/>
          <w:numId w:val="4"/>
        </w:numPr>
        <w:autoSpaceDE w:val="0"/>
        <w:autoSpaceDN w:val="0"/>
        <w:adjustRightInd w:val="0"/>
        <w:rPr>
          <w:rFonts w:eastAsia="Calibri" w:cs="HelveticaNeueLTCom-Lt"/>
        </w:rPr>
      </w:pPr>
      <w:r w:rsidRPr="00343881">
        <w:rPr>
          <w:rFonts w:eastAsia="Calibri" w:cs="HelveticaNeueLTCom-Lt"/>
        </w:rPr>
        <w:t xml:space="preserve">Uncontrolled agricultural expansion at the expense of forests;  </w:t>
      </w:r>
    </w:p>
    <w:p w14:paraId="3DB73143" w14:textId="77777777" w:rsidR="007A080B" w:rsidRPr="00343881" w:rsidRDefault="007A080B" w:rsidP="0039326F">
      <w:pPr>
        <w:pStyle w:val="ListParagraph"/>
        <w:numPr>
          <w:ilvl w:val="0"/>
          <w:numId w:val="4"/>
        </w:numPr>
        <w:autoSpaceDE w:val="0"/>
        <w:autoSpaceDN w:val="0"/>
        <w:adjustRightInd w:val="0"/>
        <w:rPr>
          <w:rFonts w:eastAsia="Calibri" w:cs="HelveticaNeueLTCom-Lt"/>
        </w:rPr>
      </w:pPr>
      <w:r w:rsidRPr="00343881">
        <w:rPr>
          <w:rFonts w:eastAsia="Calibri" w:cs="HelveticaNeueLTCom-Lt"/>
        </w:rPr>
        <w:t xml:space="preserve">Over-harvesting and illegal harvesting of wood;  </w:t>
      </w:r>
    </w:p>
    <w:p w14:paraId="37E9B97F" w14:textId="77777777" w:rsidR="007A080B" w:rsidRPr="00343881" w:rsidRDefault="007A080B" w:rsidP="0039326F">
      <w:pPr>
        <w:pStyle w:val="ListParagraph"/>
        <w:numPr>
          <w:ilvl w:val="0"/>
          <w:numId w:val="4"/>
        </w:numPr>
        <w:autoSpaceDE w:val="0"/>
        <w:autoSpaceDN w:val="0"/>
        <w:adjustRightInd w:val="0"/>
        <w:rPr>
          <w:rFonts w:eastAsia="Calibri" w:cs="HelveticaNeueLTCom-Lt"/>
        </w:rPr>
      </w:pPr>
      <w:r w:rsidRPr="00343881">
        <w:rPr>
          <w:rFonts w:eastAsia="Calibri" w:cs="HelveticaNeueLTCom-Lt"/>
        </w:rPr>
        <w:t xml:space="preserve">Population and development pressure; and  </w:t>
      </w:r>
    </w:p>
    <w:p w14:paraId="78D19A8E" w14:textId="77777777" w:rsidR="00036A7C" w:rsidRDefault="007A080B" w:rsidP="0039326F">
      <w:pPr>
        <w:pStyle w:val="ListParagraph"/>
        <w:numPr>
          <w:ilvl w:val="0"/>
          <w:numId w:val="4"/>
        </w:numPr>
        <w:autoSpaceDE w:val="0"/>
        <w:autoSpaceDN w:val="0"/>
        <w:adjustRightInd w:val="0"/>
        <w:rPr>
          <w:rFonts w:eastAsia="Calibri" w:cs="HelveticaNeueLTCom-Lt"/>
        </w:rPr>
      </w:pPr>
      <w:r w:rsidRPr="00343881">
        <w:rPr>
          <w:rFonts w:eastAsia="Calibri" w:cs="HelveticaNeueLTCom-Lt"/>
        </w:rPr>
        <w:t>Mining and mineral exploitation</w:t>
      </w:r>
    </w:p>
    <w:p w14:paraId="1C7E1508" w14:textId="5D822FFB" w:rsidR="007A080B" w:rsidRPr="00343881" w:rsidRDefault="00036A7C" w:rsidP="0039326F">
      <w:pPr>
        <w:pStyle w:val="ListParagraph"/>
        <w:numPr>
          <w:ilvl w:val="0"/>
          <w:numId w:val="4"/>
        </w:numPr>
        <w:autoSpaceDE w:val="0"/>
        <w:autoSpaceDN w:val="0"/>
        <w:adjustRightInd w:val="0"/>
        <w:rPr>
          <w:rFonts w:eastAsia="Calibri" w:cs="HelveticaNeueLTCom-Lt"/>
        </w:rPr>
      </w:pPr>
      <w:r>
        <w:rPr>
          <w:rFonts w:eastAsia="Calibri" w:cs="HelveticaNeueLTCom-Lt"/>
        </w:rPr>
        <w:t>Wildfires</w:t>
      </w:r>
      <w:r w:rsidR="007A080B" w:rsidRPr="00343881">
        <w:rPr>
          <w:rFonts w:eastAsia="Calibri" w:cs="HelveticaNeueLTCom-Lt"/>
        </w:rPr>
        <w:t xml:space="preserve">  </w:t>
      </w:r>
    </w:p>
    <w:p w14:paraId="2BF989DB" w14:textId="77777777" w:rsidR="007A080B" w:rsidRPr="00596283" w:rsidRDefault="007A080B" w:rsidP="007A080B">
      <w:pPr>
        <w:autoSpaceDE w:val="0"/>
        <w:autoSpaceDN w:val="0"/>
        <w:adjustRightInd w:val="0"/>
        <w:rPr>
          <w:rFonts w:eastAsia="Calibri" w:cs="HelveticaNeueLTCom-Lt"/>
        </w:rPr>
      </w:pPr>
      <w:r w:rsidRPr="00596283">
        <w:rPr>
          <w:rFonts w:eastAsia="Calibri" w:cs="HelveticaNeueLTCom-Lt"/>
        </w:rPr>
        <w:t xml:space="preserve"> </w:t>
      </w:r>
    </w:p>
    <w:p w14:paraId="1F2A6802" w14:textId="77777777" w:rsidR="007A080B" w:rsidRDefault="007A080B" w:rsidP="007A080B">
      <w:pPr>
        <w:autoSpaceDE w:val="0"/>
        <w:autoSpaceDN w:val="0"/>
        <w:adjustRightInd w:val="0"/>
        <w:rPr>
          <w:rFonts w:eastAsia="Calibri" w:cs="HelveticaNeueLTCom-Lt"/>
        </w:rPr>
      </w:pPr>
      <w:r w:rsidRPr="00596283">
        <w:rPr>
          <w:rFonts w:eastAsia="Calibri" w:cs="HelveticaNeueLTCom-Lt"/>
        </w:rPr>
        <w:t xml:space="preserve">The </w:t>
      </w:r>
      <w:r w:rsidRPr="00343881">
        <w:rPr>
          <w:rFonts w:eastAsia="Calibri" w:cs="HelveticaNeueLTCom-Lt"/>
          <w:b/>
          <w:bCs/>
        </w:rPr>
        <w:t>underlying causes</w:t>
      </w:r>
      <w:r w:rsidRPr="00596283">
        <w:rPr>
          <w:rFonts w:eastAsia="Calibri" w:cs="HelveticaNeueLTCom-Lt"/>
        </w:rPr>
        <w:t xml:space="preserve"> of these drivers were identified as</w:t>
      </w:r>
      <w:r>
        <w:rPr>
          <w:rFonts w:eastAsia="Calibri" w:cs="HelveticaNeueLTCom-Lt"/>
        </w:rPr>
        <w:t>:</w:t>
      </w:r>
    </w:p>
    <w:p w14:paraId="38E4D936" w14:textId="77777777" w:rsidR="007A080B" w:rsidRDefault="007A080B" w:rsidP="0039326F">
      <w:pPr>
        <w:pStyle w:val="ListParagraph"/>
        <w:numPr>
          <w:ilvl w:val="0"/>
          <w:numId w:val="2"/>
        </w:numPr>
        <w:autoSpaceDE w:val="0"/>
        <w:autoSpaceDN w:val="0"/>
        <w:adjustRightInd w:val="0"/>
        <w:rPr>
          <w:rFonts w:eastAsia="Calibri" w:cs="HelveticaNeueLTCom-Lt"/>
        </w:rPr>
      </w:pPr>
      <w:r w:rsidRPr="00343881">
        <w:rPr>
          <w:rFonts w:eastAsia="Calibri" w:cs="HelveticaNeueLTCom-Lt"/>
        </w:rPr>
        <w:t xml:space="preserve">forest industry over-capacity, </w:t>
      </w:r>
    </w:p>
    <w:p w14:paraId="3E6DC735" w14:textId="77777777" w:rsidR="007A080B" w:rsidRDefault="007A080B" w:rsidP="0039326F">
      <w:pPr>
        <w:pStyle w:val="ListParagraph"/>
        <w:numPr>
          <w:ilvl w:val="0"/>
          <w:numId w:val="2"/>
        </w:numPr>
        <w:autoSpaceDE w:val="0"/>
        <w:autoSpaceDN w:val="0"/>
        <w:adjustRightInd w:val="0"/>
        <w:rPr>
          <w:rFonts w:eastAsia="Calibri" w:cs="HelveticaNeueLTCom-Lt"/>
        </w:rPr>
      </w:pPr>
      <w:r w:rsidRPr="00343881">
        <w:rPr>
          <w:rFonts w:eastAsia="Calibri" w:cs="HelveticaNeueLTCom-Lt"/>
        </w:rPr>
        <w:t xml:space="preserve">policy and market failures, </w:t>
      </w:r>
    </w:p>
    <w:p w14:paraId="148006E3" w14:textId="77777777" w:rsidR="007A080B" w:rsidRDefault="007A080B" w:rsidP="0039326F">
      <w:pPr>
        <w:pStyle w:val="ListParagraph"/>
        <w:numPr>
          <w:ilvl w:val="0"/>
          <w:numId w:val="2"/>
        </w:numPr>
        <w:autoSpaceDE w:val="0"/>
        <w:autoSpaceDN w:val="0"/>
        <w:adjustRightInd w:val="0"/>
        <w:rPr>
          <w:rFonts w:eastAsia="Calibri" w:cs="HelveticaNeueLTCom-Lt"/>
        </w:rPr>
      </w:pPr>
      <w:r w:rsidRPr="00343881">
        <w:rPr>
          <w:rFonts w:eastAsia="Calibri" w:cs="HelveticaNeueLTCom-Lt"/>
        </w:rPr>
        <w:t xml:space="preserve">population growth, </w:t>
      </w:r>
    </w:p>
    <w:p w14:paraId="0E94E2A6" w14:textId="77777777" w:rsidR="007A080B" w:rsidRDefault="007A080B" w:rsidP="0039326F">
      <w:pPr>
        <w:pStyle w:val="ListParagraph"/>
        <w:numPr>
          <w:ilvl w:val="0"/>
          <w:numId w:val="2"/>
        </w:numPr>
        <w:autoSpaceDE w:val="0"/>
        <w:autoSpaceDN w:val="0"/>
        <w:adjustRightInd w:val="0"/>
        <w:rPr>
          <w:rFonts w:eastAsia="Calibri" w:cs="HelveticaNeueLTCom-Lt"/>
        </w:rPr>
      </w:pPr>
      <w:r w:rsidRPr="00343881">
        <w:rPr>
          <w:rFonts w:eastAsia="Calibri" w:cs="HelveticaNeueLTCom-Lt"/>
        </w:rPr>
        <w:t>increasing demand for agriculture</w:t>
      </w:r>
      <w:r>
        <w:rPr>
          <w:rStyle w:val="FootnoteReference"/>
          <w:rFonts w:eastAsia="Calibri" w:cs="HelveticaNeueLTCom-Lt"/>
        </w:rPr>
        <w:footnoteReference w:id="3"/>
      </w:r>
      <w:r w:rsidRPr="00343881">
        <w:rPr>
          <w:rFonts w:eastAsia="Calibri" w:cs="HelveticaNeueLTCom-Lt"/>
        </w:rPr>
        <w:t xml:space="preserve"> and wood products, </w:t>
      </w:r>
    </w:p>
    <w:p w14:paraId="00C7A5EB" w14:textId="77777777" w:rsidR="007A080B" w:rsidRDefault="007A080B" w:rsidP="0039326F">
      <w:pPr>
        <w:pStyle w:val="ListParagraph"/>
        <w:numPr>
          <w:ilvl w:val="0"/>
          <w:numId w:val="2"/>
        </w:numPr>
        <w:autoSpaceDE w:val="0"/>
        <w:autoSpaceDN w:val="0"/>
        <w:adjustRightInd w:val="0"/>
        <w:rPr>
          <w:rFonts w:eastAsia="Calibri" w:cs="HelveticaNeueLTCom-Lt"/>
        </w:rPr>
      </w:pPr>
      <w:r w:rsidRPr="00343881">
        <w:rPr>
          <w:rFonts w:eastAsia="Calibri" w:cs="HelveticaNeueLTCom-Lt"/>
        </w:rPr>
        <w:t>low-tech farming systems that continue to rely on ‘slash and burn’ farming methods, and</w:t>
      </w:r>
      <w:r>
        <w:rPr>
          <w:rFonts w:eastAsia="Calibri" w:cs="HelveticaNeueLTCom-Lt"/>
        </w:rPr>
        <w:t>;</w:t>
      </w:r>
      <w:r w:rsidRPr="00343881">
        <w:rPr>
          <w:rFonts w:eastAsia="Calibri" w:cs="HelveticaNeueLTCom-Lt"/>
        </w:rPr>
        <w:t xml:space="preserve"> </w:t>
      </w:r>
    </w:p>
    <w:p w14:paraId="0634D0E9" w14:textId="77777777" w:rsidR="007A080B" w:rsidRPr="00343881" w:rsidRDefault="007A080B" w:rsidP="0039326F">
      <w:pPr>
        <w:pStyle w:val="ListParagraph"/>
        <w:numPr>
          <w:ilvl w:val="0"/>
          <w:numId w:val="2"/>
        </w:numPr>
        <w:autoSpaceDE w:val="0"/>
        <w:autoSpaceDN w:val="0"/>
        <w:adjustRightInd w:val="0"/>
        <w:rPr>
          <w:rFonts w:eastAsia="Calibri" w:cs="HelveticaNeueLTCom-Lt"/>
        </w:rPr>
      </w:pPr>
      <w:r w:rsidRPr="00343881">
        <w:rPr>
          <w:rFonts w:eastAsia="Calibri" w:cs="HelveticaNeueLTCom-Lt"/>
        </w:rPr>
        <w:t>a burgeoning mining and illegal mining sector</w:t>
      </w:r>
      <w:r>
        <w:rPr>
          <w:rStyle w:val="FootnoteReference"/>
          <w:rFonts w:eastAsia="Calibri" w:cs="HelveticaNeueLTCom-Lt"/>
        </w:rPr>
        <w:footnoteReference w:id="4"/>
      </w:r>
      <w:r w:rsidRPr="00343881">
        <w:rPr>
          <w:rFonts w:eastAsia="Calibri" w:cs="HelveticaNeueLTCom-Lt"/>
        </w:rPr>
        <w:t xml:space="preserve">. </w:t>
      </w:r>
    </w:p>
    <w:p w14:paraId="333F3863" w14:textId="77777777" w:rsidR="007A080B" w:rsidRDefault="007A080B" w:rsidP="007A080B">
      <w:pPr>
        <w:autoSpaceDE w:val="0"/>
        <w:autoSpaceDN w:val="0"/>
        <w:adjustRightInd w:val="0"/>
        <w:rPr>
          <w:rFonts w:eastAsia="Calibri" w:cs="HelveticaNeueLTCom-Lt"/>
        </w:rPr>
      </w:pPr>
    </w:p>
    <w:p w14:paraId="1B6306B7" w14:textId="67D193BE" w:rsidR="007A080B" w:rsidRDefault="007A080B" w:rsidP="007A080B">
      <w:pPr>
        <w:autoSpaceDE w:val="0"/>
        <w:autoSpaceDN w:val="0"/>
        <w:adjustRightInd w:val="0"/>
        <w:rPr>
          <w:rFonts w:eastAsia="Calibri" w:cs="HelveticaNeueLTCom-Lt"/>
        </w:rPr>
      </w:pPr>
      <w:r>
        <w:rPr>
          <w:rFonts w:eastAsia="Calibri" w:cs="HelveticaNeueLTCom-Lt"/>
        </w:rPr>
        <w:t xml:space="preserve">Following this identification, and as part of the process, Ghana </w:t>
      </w:r>
      <w:r w:rsidR="00887101">
        <w:rPr>
          <w:rFonts w:eastAsia="Calibri" w:cs="HelveticaNeueLTCom-Lt"/>
        </w:rPr>
        <w:t xml:space="preserve">developed </w:t>
      </w:r>
      <w:r>
        <w:rPr>
          <w:rFonts w:eastAsia="Calibri" w:cs="HelveticaNeueLTCom-Lt"/>
        </w:rPr>
        <w:t xml:space="preserve">a National REDD+ Strategy, the latest (second) version of which was </w:t>
      </w:r>
      <w:r w:rsidR="00036A7C">
        <w:rPr>
          <w:rFonts w:eastAsia="Calibri" w:cs="HelveticaNeueLTCom-Lt"/>
        </w:rPr>
        <w:t xml:space="preserve">launched </w:t>
      </w:r>
      <w:r>
        <w:rPr>
          <w:rFonts w:eastAsia="Calibri" w:cs="HelveticaNeueLTCom-Lt"/>
        </w:rPr>
        <w:t>in 2016</w:t>
      </w:r>
      <w:r>
        <w:rPr>
          <w:rStyle w:val="FootnoteReference"/>
          <w:rFonts w:eastAsia="Calibri" w:cs="HelveticaNeueLTCom-Lt"/>
        </w:rPr>
        <w:footnoteReference w:id="5"/>
      </w:r>
      <w:r>
        <w:rPr>
          <w:rFonts w:eastAsia="Calibri" w:cs="HelveticaNeueLTCom-Lt"/>
        </w:rPr>
        <w:t xml:space="preserve"> and is aimed to cover 2016-2035.  </w:t>
      </w:r>
    </w:p>
    <w:p w14:paraId="41055F61" w14:textId="77777777" w:rsidR="007A080B" w:rsidRDefault="007A080B" w:rsidP="007A080B">
      <w:pPr>
        <w:autoSpaceDE w:val="0"/>
        <w:autoSpaceDN w:val="0"/>
        <w:adjustRightInd w:val="0"/>
        <w:rPr>
          <w:rFonts w:eastAsia="Calibri" w:cs="HelveticaNeueLTCom-Lt"/>
        </w:rPr>
      </w:pPr>
    </w:p>
    <w:p w14:paraId="0628D39D" w14:textId="08C01ECF" w:rsidR="007A080B" w:rsidRDefault="007A080B" w:rsidP="007A080B">
      <w:pPr>
        <w:autoSpaceDE w:val="0"/>
        <w:autoSpaceDN w:val="0"/>
        <w:adjustRightInd w:val="0"/>
        <w:rPr>
          <w:rFonts w:eastAsia="Calibri" w:cs="HelveticaNeueLTCom-Lt"/>
        </w:rPr>
      </w:pPr>
      <w:r w:rsidRPr="00CA2FC3">
        <w:rPr>
          <w:rFonts w:eastAsia="Calibri" w:cs="HelveticaNeueLTCom-Lt"/>
        </w:rPr>
        <w:t xml:space="preserve">The </w:t>
      </w:r>
      <w:r w:rsidR="00887101">
        <w:rPr>
          <w:rFonts w:eastAsia="Calibri" w:cs="HelveticaNeueLTCom-Lt"/>
        </w:rPr>
        <w:t>S</w:t>
      </w:r>
      <w:r w:rsidRPr="00CA2FC3">
        <w:rPr>
          <w:rFonts w:eastAsia="Calibri" w:cs="HelveticaNeueLTCom-Lt"/>
        </w:rPr>
        <w:t>trategy was prepared over a two-year period, in consultation with a wide range of stakeholders</w:t>
      </w:r>
      <w:r>
        <w:rPr>
          <w:rFonts w:eastAsia="Calibri" w:cs="HelveticaNeueLTCom-Lt"/>
        </w:rPr>
        <w:t xml:space="preserve"> </w:t>
      </w:r>
      <w:r w:rsidRPr="00CA2FC3">
        <w:rPr>
          <w:rFonts w:eastAsia="Calibri" w:cs="HelveticaNeueLTCom-Lt"/>
        </w:rPr>
        <w:t>across the country. The</w:t>
      </w:r>
      <w:r w:rsidR="00887101">
        <w:rPr>
          <w:rFonts w:eastAsia="Calibri" w:cs="HelveticaNeueLTCom-Lt"/>
        </w:rPr>
        <w:t>y</w:t>
      </w:r>
      <w:r w:rsidRPr="00CA2FC3">
        <w:rPr>
          <w:rFonts w:eastAsia="Calibri" w:cs="HelveticaNeueLTCom-Lt"/>
        </w:rPr>
        <w:t xml:space="preserve"> included technical experts, government officials from institutions whose</w:t>
      </w:r>
      <w:r>
        <w:rPr>
          <w:rFonts w:eastAsia="Calibri" w:cs="HelveticaNeueLTCom-Lt"/>
        </w:rPr>
        <w:t xml:space="preserve"> </w:t>
      </w:r>
      <w:r w:rsidRPr="00CA2FC3">
        <w:rPr>
          <w:rFonts w:eastAsia="Calibri" w:cs="HelveticaNeueLTCom-Lt"/>
        </w:rPr>
        <w:t>activities are REDD+ related, civil society organizations, traditional leaders and landowners,</w:t>
      </w:r>
      <w:r>
        <w:rPr>
          <w:rFonts w:eastAsia="Calibri" w:cs="HelveticaNeueLTCom-Lt"/>
        </w:rPr>
        <w:t xml:space="preserve"> </w:t>
      </w:r>
      <w:r w:rsidRPr="00CA2FC3">
        <w:rPr>
          <w:rFonts w:eastAsia="Calibri" w:cs="HelveticaNeueLTCom-Lt"/>
        </w:rPr>
        <w:t>community and farmer representatives, academia, private sector companies and international</w:t>
      </w:r>
      <w:r>
        <w:rPr>
          <w:rFonts w:eastAsia="Calibri" w:cs="HelveticaNeueLTCom-Lt"/>
        </w:rPr>
        <w:t xml:space="preserve"> </w:t>
      </w:r>
      <w:r w:rsidRPr="00CA2FC3">
        <w:rPr>
          <w:rFonts w:eastAsia="Calibri" w:cs="HelveticaNeueLTCom-Lt"/>
        </w:rPr>
        <w:t>organizations. In the process, emphasis was placed on creating a gender sensitive, participatory, and</w:t>
      </w:r>
      <w:r>
        <w:rPr>
          <w:rFonts w:eastAsia="Calibri" w:cs="HelveticaNeueLTCom-Lt"/>
        </w:rPr>
        <w:t xml:space="preserve"> </w:t>
      </w:r>
      <w:r w:rsidRPr="00CA2FC3">
        <w:rPr>
          <w:rFonts w:eastAsia="Calibri" w:cs="HelveticaNeueLTCom-Lt"/>
        </w:rPr>
        <w:t>inclusive process.</w:t>
      </w:r>
    </w:p>
    <w:p w14:paraId="674ACEDA" w14:textId="77777777" w:rsidR="007A080B" w:rsidRDefault="007A080B" w:rsidP="007A080B">
      <w:pPr>
        <w:autoSpaceDE w:val="0"/>
        <w:autoSpaceDN w:val="0"/>
        <w:adjustRightInd w:val="0"/>
        <w:rPr>
          <w:rFonts w:eastAsia="Calibri" w:cs="HelveticaNeueLTCom-Lt"/>
        </w:rPr>
      </w:pPr>
    </w:p>
    <w:p w14:paraId="3BEE7077" w14:textId="4D6AAA37" w:rsidR="007A080B" w:rsidRDefault="007A080B" w:rsidP="007A080B">
      <w:pPr>
        <w:autoSpaceDE w:val="0"/>
        <w:autoSpaceDN w:val="0"/>
        <w:adjustRightInd w:val="0"/>
        <w:rPr>
          <w:rFonts w:eastAsia="Calibri" w:cs="HelveticaNeueLTCom-Lt"/>
        </w:rPr>
      </w:pPr>
      <w:r w:rsidRPr="00C4354E">
        <w:rPr>
          <w:rFonts w:eastAsia="Calibri" w:cs="HelveticaNeueLTCom-Lt"/>
        </w:rPr>
        <w:t>An initial draft of strategy options was generated, followed by an early draft of the strategy that was subjected to two consultati</w:t>
      </w:r>
      <w:r w:rsidR="00887101">
        <w:rPr>
          <w:rFonts w:eastAsia="Calibri" w:cs="HelveticaNeueLTCom-Lt"/>
        </w:rPr>
        <w:t>ve events</w:t>
      </w:r>
      <w:r w:rsidRPr="00C4354E">
        <w:rPr>
          <w:rFonts w:eastAsia="Calibri" w:cs="HelveticaNeueLTCom-Lt"/>
        </w:rPr>
        <w:t xml:space="preserve"> hosted by the Forestry Commission (FC), with a wide range of stakeholders. A third consultation took place with a focus group of REDD+ experts, resulting in a more complete draft, but many gaps still remained.  A small team of national REDD+ experts were then brought together to </w:t>
      </w:r>
      <w:r w:rsidR="00887101">
        <w:rPr>
          <w:rFonts w:eastAsia="Calibri" w:cs="HelveticaNeueLTCom-Lt"/>
        </w:rPr>
        <w:t xml:space="preserve">provide </w:t>
      </w:r>
      <w:r w:rsidRPr="00C4354E">
        <w:rPr>
          <w:rFonts w:eastAsia="Calibri" w:cs="HelveticaNeueLTCom-Lt"/>
        </w:rPr>
        <w:t>critical input</w:t>
      </w:r>
      <w:r w:rsidR="00887101">
        <w:rPr>
          <w:rFonts w:eastAsia="Calibri" w:cs="HelveticaNeueLTCom-Lt"/>
        </w:rPr>
        <w:t>s</w:t>
      </w:r>
      <w:r w:rsidRPr="00C4354E">
        <w:rPr>
          <w:rFonts w:eastAsia="Calibri" w:cs="HelveticaNeueLTCom-Lt"/>
        </w:rPr>
        <w:t xml:space="preserve"> to strengthen the content and scope of the strategy.  In producing this draft of the strategy, the team was guided by the World Wide Fund (WWF) Guide for Building REDD+ Strategies (2013). </w:t>
      </w:r>
    </w:p>
    <w:p w14:paraId="455D54F4" w14:textId="77777777" w:rsidR="007A080B" w:rsidRPr="00C4354E" w:rsidRDefault="007A080B" w:rsidP="007A080B">
      <w:pPr>
        <w:autoSpaceDE w:val="0"/>
        <w:autoSpaceDN w:val="0"/>
        <w:adjustRightInd w:val="0"/>
        <w:rPr>
          <w:rFonts w:eastAsia="Calibri" w:cs="HelveticaNeueLTCom-Lt"/>
        </w:rPr>
      </w:pPr>
    </w:p>
    <w:p w14:paraId="74308806" w14:textId="776C5E28" w:rsidR="00991494" w:rsidRDefault="007A080B" w:rsidP="007A080B">
      <w:pPr>
        <w:autoSpaceDE w:val="0"/>
        <w:autoSpaceDN w:val="0"/>
        <w:adjustRightInd w:val="0"/>
        <w:rPr>
          <w:rFonts w:eastAsia="Calibri" w:cs="HelveticaNeueLTCom-Lt"/>
        </w:rPr>
      </w:pPr>
      <w:r w:rsidRPr="00C4354E">
        <w:rPr>
          <w:rFonts w:eastAsia="Calibri" w:cs="HelveticaNeueLTCom-Lt"/>
        </w:rPr>
        <w:lastRenderedPageBreak/>
        <w:t>The resulting draft was then presented to a high-level working group for further evaluation, input and revision.  The output of the working group was then presented in two consultation meetings, one held in Sunyani and the other in Accra, involving representatives of all the main REDD+ stakeholders, including district forest forums and community members.  The “final” draft of the strategy was completed by the National REDD+ Secretariat (NRS) and consultants to the World Bank (WB) and Forest Carbon Partnership Facility (FCPF).</w:t>
      </w:r>
    </w:p>
    <w:p w14:paraId="19DDDB95" w14:textId="1010D09B" w:rsidR="007A080B" w:rsidRPr="00343881" w:rsidRDefault="007A080B" w:rsidP="007A080B">
      <w:pPr>
        <w:autoSpaceDE w:val="0"/>
        <w:autoSpaceDN w:val="0"/>
        <w:adjustRightInd w:val="0"/>
        <w:rPr>
          <w:rFonts w:eastAsia="Calibri" w:cs="HelveticaNeueLTCom-Lt"/>
        </w:rPr>
      </w:pPr>
      <w:r>
        <w:rPr>
          <w:rFonts w:eastAsia="Calibri" w:cs="HelveticaNeueLTCom-Lt"/>
        </w:rPr>
        <w:br/>
      </w:r>
      <w:r w:rsidRPr="00CA2FC3">
        <w:rPr>
          <w:rFonts w:eastAsia="Calibri" w:cs="HelveticaNeueLTCom-Lt"/>
        </w:rPr>
        <w:t xml:space="preserve">The aim of the consultations and participatory sessions was to share ideas and experiences, and to receive critical feedback on the strategy as it evolved over time, so as to establish a </w:t>
      </w:r>
      <w:r w:rsidR="00887101" w:rsidRPr="00CA2FC3">
        <w:rPr>
          <w:rFonts w:eastAsia="Calibri" w:cs="HelveticaNeueLTCom-Lt"/>
        </w:rPr>
        <w:t>p</w:t>
      </w:r>
      <w:r w:rsidR="00887101">
        <w:rPr>
          <w:rFonts w:eastAsia="Calibri" w:cs="HelveticaNeueLTCom-Lt"/>
        </w:rPr>
        <w:t>athway</w:t>
      </w:r>
      <w:r w:rsidR="00887101" w:rsidRPr="00CA2FC3">
        <w:rPr>
          <w:rFonts w:eastAsia="Calibri" w:cs="HelveticaNeueLTCom-Lt"/>
        </w:rPr>
        <w:t xml:space="preserve"> </w:t>
      </w:r>
      <w:r w:rsidRPr="00CA2FC3">
        <w:rPr>
          <w:rFonts w:eastAsia="Calibri" w:cs="HelveticaNeueLTCom-Lt"/>
        </w:rPr>
        <w:t xml:space="preserve">that can truly address the main drivers of deforestation and forest degradation across Ghana, reduce carbon emissions, and enhance important co-benefits for human wellbeing and the maintenance of ecosystem services.  Ghana’s National REDD+ Strategy also benefitted from and was built </w:t>
      </w:r>
      <w:r w:rsidR="00887101">
        <w:rPr>
          <w:rFonts w:eastAsia="Calibri" w:cs="HelveticaNeueLTCom-Lt"/>
        </w:rPr>
        <w:t xml:space="preserve">out </w:t>
      </w:r>
      <w:r w:rsidRPr="00CA2FC3">
        <w:rPr>
          <w:rFonts w:eastAsia="Calibri" w:cs="HelveticaNeueLTCom-Lt"/>
        </w:rPr>
        <w:t>of the myriad consultations and stakeholder engagements that occurred during the development of Ghana’s R-PP, FIP and the drafting of the Emission Reductions Programme Idea Note (ER-PIN).</w:t>
      </w:r>
    </w:p>
    <w:p w14:paraId="6F3D9793" w14:textId="77777777" w:rsidR="007A080B" w:rsidRDefault="007A080B" w:rsidP="007A080B">
      <w:pPr>
        <w:autoSpaceDE w:val="0"/>
        <w:autoSpaceDN w:val="0"/>
        <w:adjustRightInd w:val="0"/>
        <w:rPr>
          <w:rFonts w:eastAsia="Calibri" w:cs="HelveticaNeueLTCom-Lt"/>
          <w:b/>
          <w:bCs/>
        </w:rPr>
      </w:pPr>
    </w:p>
    <w:p w14:paraId="28ECE84D" w14:textId="77777777" w:rsidR="007A080B" w:rsidRDefault="007A080B" w:rsidP="007A080B">
      <w:pPr>
        <w:autoSpaceDE w:val="0"/>
        <w:autoSpaceDN w:val="0"/>
        <w:adjustRightInd w:val="0"/>
        <w:rPr>
          <w:rFonts w:eastAsia="Calibri" w:cs="HelveticaNeueLTCom-Lt"/>
        </w:rPr>
      </w:pPr>
      <w:r w:rsidRPr="00343881">
        <w:rPr>
          <w:rFonts w:eastAsia="Calibri" w:cs="HelveticaNeueLTCom-Lt"/>
          <w:b/>
          <w:bCs/>
        </w:rPr>
        <w:t>The goals</w:t>
      </w:r>
      <w:r w:rsidRPr="005804E2">
        <w:rPr>
          <w:rFonts w:eastAsia="Calibri" w:cs="HelveticaNeueLTCom-Lt"/>
        </w:rPr>
        <w:t xml:space="preserve"> set by Ghana for REDD+ implementation are</w:t>
      </w:r>
      <w:r>
        <w:rPr>
          <w:rFonts w:eastAsia="Calibri" w:cs="HelveticaNeueLTCom-Lt"/>
        </w:rPr>
        <w:t>:</w:t>
      </w:r>
    </w:p>
    <w:p w14:paraId="23989C3B" w14:textId="77777777" w:rsidR="007A080B" w:rsidRDefault="007A080B" w:rsidP="007A080B">
      <w:pPr>
        <w:autoSpaceDE w:val="0"/>
        <w:autoSpaceDN w:val="0"/>
        <w:adjustRightInd w:val="0"/>
        <w:rPr>
          <w:rFonts w:eastAsia="Calibri" w:cs="HelveticaNeueLTCom-Lt"/>
        </w:rPr>
      </w:pPr>
    </w:p>
    <w:p w14:paraId="30AE3723" w14:textId="77777777" w:rsidR="007A080B" w:rsidRPr="00343881" w:rsidRDefault="007A080B" w:rsidP="0039326F">
      <w:pPr>
        <w:pStyle w:val="ListParagraph"/>
        <w:numPr>
          <w:ilvl w:val="0"/>
          <w:numId w:val="3"/>
        </w:numPr>
        <w:autoSpaceDE w:val="0"/>
        <w:autoSpaceDN w:val="0"/>
        <w:adjustRightInd w:val="0"/>
        <w:rPr>
          <w:rFonts w:eastAsia="Calibri" w:cs="HelveticaNeueLTCom-Lt"/>
        </w:rPr>
      </w:pPr>
      <w:r w:rsidRPr="00343881">
        <w:rPr>
          <w:rFonts w:eastAsia="Calibri" w:cs="HelveticaNeueLTCom-Lt"/>
        </w:rPr>
        <w:t xml:space="preserve">reduce emissions from deforestation and forest degradation while enabling carbon stock enhancement through sustainable forest management and forest restoration strategies such as forest plantation establishment, </w:t>
      </w:r>
    </w:p>
    <w:p w14:paraId="2685F9EE" w14:textId="77777777" w:rsidR="007A080B" w:rsidRDefault="007A080B" w:rsidP="0039326F">
      <w:pPr>
        <w:pStyle w:val="ListParagraph"/>
        <w:numPr>
          <w:ilvl w:val="0"/>
          <w:numId w:val="3"/>
        </w:numPr>
        <w:autoSpaceDE w:val="0"/>
        <w:autoSpaceDN w:val="0"/>
        <w:adjustRightInd w:val="0"/>
        <w:rPr>
          <w:rFonts w:eastAsia="Calibri" w:cs="HelveticaNeueLTCom-Lt"/>
        </w:rPr>
      </w:pPr>
      <w:r w:rsidRPr="00343881">
        <w:rPr>
          <w:rFonts w:eastAsia="Calibri" w:cs="HelveticaNeueLTCom-Lt"/>
        </w:rPr>
        <w:t xml:space="preserve">preserve Ghana’s forests in order to sustain their ecosystem services, conserve biological diversity, and maintain a cultural heritage for generations to come; </w:t>
      </w:r>
    </w:p>
    <w:p w14:paraId="7CD1EC7C" w14:textId="77777777" w:rsidR="007A080B" w:rsidRDefault="007A080B" w:rsidP="0039326F">
      <w:pPr>
        <w:pStyle w:val="ListParagraph"/>
        <w:numPr>
          <w:ilvl w:val="0"/>
          <w:numId w:val="3"/>
        </w:numPr>
        <w:autoSpaceDE w:val="0"/>
        <w:autoSpaceDN w:val="0"/>
        <w:adjustRightInd w:val="0"/>
        <w:rPr>
          <w:rFonts w:eastAsia="Calibri" w:cs="HelveticaNeueLTCom-Lt"/>
        </w:rPr>
      </w:pPr>
      <w:r w:rsidRPr="00343881">
        <w:rPr>
          <w:rFonts w:eastAsia="Calibri" w:cs="HelveticaNeueLTCom-Lt"/>
        </w:rPr>
        <w:t xml:space="preserve">transform Ghana’s major agricultural commodities and Non Timber Forest Products (NTFPs) into climate-smart production systems and landscapes; </w:t>
      </w:r>
    </w:p>
    <w:p w14:paraId="1C6A46C3" w14:textId="77777777" w:rsidR="007A080B" w:rsidRDefault="007A080B" w:rsidP="0039326F">
      <w:pPr>
        <w:pStyle w:val="ListParagraph"/>
        <w:numPr>
          <w:ilvl w:val="0"/>
          <w:numId w:val="3"/>
        </w:numPr>
        <w:autoSpaceDE w:val="0"/>
        <w:autoSpaceDN w:val="0"/>
        <w:adjustRightInd w:val="0"/>
        <w:rPr>
          <w:rFonts w:eastAsia="Calibri" w:cs="HelveticaNeueLTCom-Lt"/>
        </w:rPr>
      </w:pPr>
      <w:r w:rsidRPr="00343881">
        <w:rPr>
          <w:rFonts w:eastAsia="Calibri" w:cs="HelveticaNeueLTCom-Lt"/>
        </w:rPr>
        <w:t xml:space="preserve">expand platforms for cross-sector and public-private collaboration and sustainable economic development; and </w:t>
      </w:r>
    </w:p>
    <w:p w14:paraId="3429681A" w14:textId="77777777" w:rsidR="007A080B" w:rsidRPr="00343881" w:rsidRDefault="007A080B" w:rsidP="0039326F">
      <w:pPr>
        <w:pStyle w:val="ListParagraph"/>
        <w:numPr>
          <w:ilvl w:val="0"/>
          <w:numId w:val="3"/>
        </w:numPr>
        <w:autoSpaceDE w:val="0"/>
        <w:autoSpaceDN w:val="0"/>
        <w:adjustRightInd w:val="0"/>
        <w:rPr>
          <w:rFonts w:eastAsia="Calibri" w:cs="HelveticaNeueLTCom-Lt"/>
        </w:rPr>
      </w:pPr>
      <w:r w:rsidRPr="00343881">
        <w:rPr>
          <w:rFonts w:eastAsia="Calibri" w:cs="HelveticaNeueLTCom-Lt"/>
        </w:rPr>
        <w:t>generate innovative, substantial and sustainable economic and non-economic incentives and benefits to improve livelihoods across all regions of Ghana</w:t>
      </w:r>
      <w:r>
        <w:rPr>
          <w:rStyle w:val="FootnoteReference"/>
          <w:rFonts w:eastAsia="Calibri" w:cs="HelveticaNeueLTCom-Lt"/>
        </w:rPr>
        <w:footnoteReference w:id="6"/>
      </w:r>
      <w:r w:rsidRPr="00343881">
        <w:rPr>
          <w:rFonts w:eastAsia="Calibri" w:cs="HelveticaNeueLTCom-Lt"/>
        </w:rPr>
        <w:t>.</w:t>
      </w:r>
    </w:p>
    <w:p w14:paraId="338B8F4E" w14:textId="77777777" w:rsidR="007A080B" w:rsidRDefault="007A080B" w:rsidP="007A080B">
      <w:pPr>
        <w:autoSpaceDE w:val="0"/>
        <w:autoSpaceDN w:val="0"/>
        <w:adjustRightInd w:val="0"/>
        <w:rPr>
          <w:rFonts w:eastAsia="Calibri" w:cs="HelveticaNeueLTCom-Lt"/>
        </w:rPr>
      </w:pPr>
    </w:p>
    <w:p w14:paraId="0C055F5B" w14:textId="701F8EDE" w:rsidR="007A080B" w:rsidRPr="00EF3489" w:rsidRDefault="007A080B" w:rsidP="007A080B">
      <w:pPr>
        <w:autoSpaceDE w:val="0"/>
        <w:autoSpaceDN w:val="0"/>
        <w:adjustRightInd w:val="0"/>
        <w:rPr>
          <w:rFonts w:eastAsia="Calibri" w:cs="HelveticaNeueLTCom-Lt"/>
        </w:rPr>
      </w:pPr>
      <w:r w:rsidRPr="00713986">
        <w:rPr>
          <w:rFonts w:eastAsia="Calibri" w:cs="HelveticaNeueLTCom-Lt"/>
        </w:rPr>
        <w:t>This strategy is</w:t>
      </w:r>
      <w:r w:rsidR="00036A7C">
        <w:rPr>
          <w:rFonts w:eastAsia="Calibri" w:cs="HelveticaNeueLTCom-Lt"/>
        </w:rPr>
        <w:t xml:space="preserve"> a</w:t>
      </w:r>
      <w:r w:rsidRPr="00713986">
        <w:rPr>
          <w:rFonts w:eastAsia="Calibri" w:cs="HelveticaNeueLTCom-Lt"/>
        </w:rPr>
        <w:t xml:space="preserve"> twenty-year working document but is subject to periodic review as new ideas and enhanced understanding of REDD+ emerge from research and on-the-ground implementation of REDD+ activities in Ghana</w:t>
      </w:r>
      <w:r>
        <w:rPr>
          <w:rFonts w:eastAsia="Calibri" w:cs="HelveticaNeueLTCom-Lt"/>
        </w:rPr>
        <w:t>. I</w:t>
      </w:r>
      <w:r w:rsidRPr="00EF3489">
        <w:rPr>
          <w:rFonts w:eastAsia="Calibri" w:cs="HelveticaNeueLTCom-Lt"/>
        </w:rPr>
        <w:t>t is a living document and retains sufficient flexibility and openness such that it can be reviewed, modified, adapted and even re-written over time as conditions, experiences and circumstances change and new opportunities emerge</w:t>
      </w:r>
      <w:r>
        <w:rPr>
          <w:rStyle w:val="FootnoteReference"/>
          <w:rFonts w:eastAsia="Calibri" w:cs="HelveticaNeueLTCom-Lt"/>
        </w:rPr>
        <w:footnoteReference w:id="7"/>
      </w:r>
      <w:r w:rsidRPr="00EF3489">
        <w:rPr>
          <w:rFonts w:eastAsia="Calibri" w:cs="HelveticaNeueLTCom-Lt"/>
        </w:rPr>
        <w:t>.</w:t>
      </w:r>
    </w:p>
    <w:p w14:paraId="4527EC7E" w14:textId="77777777" w:rsidR="007A080B" w:rsidRPr="00713986" w:rsidRDefault="007A080B" w:rsidP="007A080B">
      <w:pPr>
        <w:autoSpaceDE w:val="0"/>
        <w:autoSpaceDN w:val="0"/>
        <w:adjustRightInd w:val="0"/>
        <w:rPr>
          <w:rFonts w:eastAsia="Calibri" w:cs="HelveticaNeueLTCom-Lt"/>
        </w:rPr>
      </w:pPr>
    </w:p>
    <w:p w14:paraId="27A86DB9" w14:textId="77777777" w:rsidR="007A080B" w:rsidRPr="00713986" w:rsidRDefault="007A080B" w:rsidP="007A080B">
      <w:pPr>
        <w:autoSpaceDE w:val="0"/>
        <w:autoSpaceDN w:val="0"/>
        <w:adjustRightInd w:val="0"/>
        <w:rPr>
          <w:rFonts w:eastAsia="Calibri" w:cs="HelveticaNeueLTCom-Lt"/>
        </w:rPr>
      </w:pPr>
      <w:r w:rsidRPr="00713986">
        <w:rPr>
          <w:rFonts w:eastAsia="Calibri" w:cs="HelveticaNeueLTCom-Lt"/>
        </w:rPr>
        <w:t>The strategy includes a set of strategic options for addressing the direct and indirect drivers of deforestation and forest degradation</w:t>
      </w:r>
      <w:r>
        <w:rPr>
          <w:rFonts w:eastAsia="Calibri" w:cs="HelveticaNeueLTCom-Lt"/>
        </w:rPr>
        <w:t xml:space="preserve"> (which were identified above)</w:t>
      </w:r>
      <w:r w:rsidRPr="00713986">
        <w:rPr>
          <w:rFonts w:eastAsia="Calibri" w:cs="HelveticaNeueLTCom-Lt"/>
        </w:rPr>
        <w:t xml:space="preserve">.  Each option was assessed based on ten criteria that were grouped according to importance. </w:t>
      </w:r>
    </w:p>
    <w:p w14:paraId="038624C8" w14:textId="77777777" w:rsidR="007A080B" w:rsidRPr="00713986" w:rsidRDefault="007A080B" w:rsidP="007A080B">
      <w:pPr>
        <w:autoSpaceDE w:val="0"/>
        <w:autoSpaceDN w:val="0"/>
        <w:adjustRightInd w:val="0"/>
        <w:rPr>
          <w:rFonts w:eastAsia="Calibri" w:cs="HelveticaNeueLTCom-Lt"/>
        </w:rPr>
      </w:pPr>
      <w:r w:rsidRPr="00713986">
        <w:rPr>
          <w:rFonts w:eastAsia="Calibri" w:cs="HelveticaNeueLTCom-Lt"/>
        </w:rPr>
        <w:t xml:space="preserve"> </w:t>
      </w:r>
    </w:p>
    <w:p w14:paraId="4C3DC693" w14:textId="77777777" w:rsidR="007A080B" w:rsidRDefault="007A080B" w:rsidP="007A080B">
      <w:pPr>
        <w:autoSpaceDE w:val="0"/>
        <w:autoSpaceDN w:val="0"/>
        <w:adjustRightInd w:val="0"/>
        <w:rPr>
          <w:rFonts w:eastAsia="Calibri" w:cs="HelveticaNeueLTCom-Lt"/>
        </w:rPr>
      </w:pPr>
      <w:r w:rsidRPr="00713986">
        <w:rPr>
          <w:rFonts w:eastAsia="Calibri" w:cs="HelveticaNeueLTCom-Lt"/>
        </w:rPr>
        <w:t xml:space="preserve">This analysis resulted in the identification of three broad interventions representing a strategic grouping of the various strategy options; the idea being that by implementing the strategy options in concert and in accordance with the relevant eco-zones or national context, they will have the highest potential to significantly impact the direct and indirect drivers.  </w:t>
      </w:r>
      <w:r>
        <w:rPr>
          <w:rFonts w:eastAsia="Calibri" w:cs="HelveticaNeueLTCom-Lt"/>
        </w:rPr>
        <w:br/>
      </w:r>
      <w:r w:rsidRPr="00713986">
        <w:rPr>
          <w:rFonts w:eastAsia="Calibri" w:cs="HelveticaNeueLTCom-Lt"/>
        </w:rPr>
        <w:t xml:space="preserve">The </w:t>
      </w:r>
      <w:r w:rsidRPr="00343881">
        <w:rPr>
          <w:rFonts w:eastAsia="Calibri" w:cs="HelveticaNeueLTCom-Lt"/>
          <w:b/>
          <w:bCs/>
        </w:rPr>
        <w:t>three recommended interventions</w:t>
      </w:r>
      <w:r w:rsidRPr="00713986">
        <w:rPr>
          <w:rFonts w:eastAsia="Calibri" w:cs="HelveticaNeueLTCom-Lt"/>
        </w:rPr>
        <w:t xml:space="preserve"> </w:t>
      </w:r>
      <w:r>
        <w:rPr>
          <w:rFonts w:eastAsia="Calibri" w:cs="HelveticaNeueLTCom-Lt"/>
        </w:rPr>
        <w:t xml:space="preserve">to </w:t>
      </w:r>
      <w:r w:rsidRPr="00713986">
        <w:rPr>
          <w:rFonts w:eastAsia="Calibri" w:cs="HelveticaNeueLTCom-Lt"/>
        </w:rPr>
        <w:t>reduce deforestation and forest degradation are</w:t>
      </w:r>
      <w:r>
        <w:rPr>
          <w:rFonts w:eastAsia="Calibri" w:cs="HelveticaNeueLTCom-Lt"/>
        </w:rPr>
        <w:t>:</w:t>
      </w:r>
    </w:p>
    <w:p w14:paraId="78F7DEE6" w14:textId="77777777" w:rsidR="007A080B" w:rsidRDefault="007A080B" w:rsidP="007A080B">
      <w:pPr>
        <w:autoSpaceDE w:val="0"/>
        <w:autoSpaceDN w:val="0"/>
        <w:adjustRightInd w:val="0"/>
        <w:rPr>
          <w:rFonts w:eastAsia="Calibri" w:cs="HelveticaNeueLTCom-Lt"/>
        </w:rPr>
      </w:pPr>
      <w:r w:rsidRPr="00713986">
        <w:rPr>
          <w:rFonts w:eastAsia="Calibri" w:cs="HelveticaNeueLTCom-Lt"/>
        </w:rPr>
        <w:t xml:space="preserve"> </w:t>
      </w:r>
    </w:p>
    <w:p w14:paraId="582F142A" w14:textId="77777777" w:rsidR="007A080B" w:rsidRPr="00343881" w:rsidRDefault="007A080B" w:rsidP="0039326F">
      <w:pPr>
        <w:pStyle w:val="ListParagraph"/>
        <w:numPr>
          <w:ilvl w:val="0"/>
          <w:numId w:val="5"/>
        </w:numPr>
        <w:autoSpaceDE w:val="0"/>
        <w:autoSpaceDN w:val="0"/>
        <w:adjustRightInd w:val="0"/>
        <w:rPr>
          <w:rFonts w:eastAsia="Calibri" w:cs="HelveticaNeueLTCom-Lt"/>
        </w:rPr>
      </w:pPr>
      <w:r w:rsidRPr="00343881">
        <w:rPr>
          <w:rFonts w:eastAsia="Calibri" w:cs="HelveticaNeueLTCom-Lt"/>
        </w:rPr>
        <w:t xml:space="preserve">improving land-use and socio-economic development in the high forest zone and the cocoa growing areas; </w:t>
      </w:r>
    </w:p>
    <w:p w14:paraId="21257DC7" w14:textId="77777777" w:rsidR="007A080B" w:rsidRPr="00343881" w:rsidRDefault="007A080B" w:rsidP="0039326F">
      <w:pPr>
        <w:pStyle w:val="ListParagraph"/>
        <w:numPr>
          <w:ilvl w:val="0"/>
          <w:numId w:val="5"/>
        </w:numPr>
        <w:autoSpaceDE w:val="0"/>
        <w:autoSpaceDN w:val="0"/>
        <w:adjustRightInd w:val="0"/>
        <w:rPr>
          <w:rFonts w:eastAsia="Calibri" w:cs="HelveticaNeueLTCom-Lt"/>
        </w:rPr>
      </w:pPr>
      <w:r w:rsidRPr="00343881">
        <w:rPr>
          <w:rFonts w:eastAsia="Calibri" w:cs="HelveticaNeueLTCom-Lt"/>
        </w:rPr>
        <w:t xml:space="preserve">Addressing wood processing and agricultural practices in the savannah woodland zones; and </w:t>
      </w:r>
    </w:p>
    <w:p w14:paraId="36571210" w14:textId="77777777" w:rsidR="007A080B" w:rsidRDefault="007A080B" w:rsidP="0039326F">
      <w:pPr>
        <w:pStyle w:val="ListParagraph"/>
        <w:numPr>
          <w:ilvl w:val="0"/>
          <w:numId w:val="5"/>
        </w:numPr>
        <w:autoSpaceDE w:val="0"/>
        <w:autoSpaceDN w:val="0"/>
        <w:adjustRightInd w:val="0"/>
        <w:rPr>
          <w:rFonts w:eastAsia="Calibri" w:cs="HelveticaNeueLTCom-Lt"/>
        </w:rPr>
      </w:pPr>
      <w:r w:rsidRPr="00343881">
        <w:rPr>
          <w:rFonts w:eastAsia="Calibri" w:cs="HelveticaNeueLTCom-Lt"/>
        </w:rPr>
        <w:lastRenderedPageBreak/>
        <w:t xml:space="preserve">Policy and legislative reforms.  </w:t>
      </w:r>
    </w:p>
    <w:p w14:paraId="455CB053" w14:textId="77777777" w:rsidR="007A080B" w:rsidRDefault="007A080B" w:rsidP="007A080B">
      <w:pPr>
        <w:autoSpaceDE w:val="0"/>
        <w:autoSpaceDN w:val="0"/>
        <w:adjustRightInd w:val="0"/>
        <w:rPr>
          <w:rFonts w:eastAsia="Calibri" w:cs="HelveticaNeueLTCom-Lt"/>
        </w:rPr>
      </w:pPr>
    </w:p>
    <w:p w14:paraId="0FE5490E" w14:textId="77777777" w:rsidR="007A080B" w:rsidRDefault="007A080B" w:rsidP="007A080B">
      <w:pPr>
        <w:autoSpaceDE w:val="0"/>
        <w:autoSpaceDN w:val="0"/>
        <w:adjustRightInd w:val="0"/>
        <w:rPr>
          <w:rFonts w:eastAsia="Calibri" w:cs="HelveticaNeueLTCom-Lt"/>
        </w:rPr>
      </w:pPr>
      <w:r w:rsidRPr="00343881">
        <w:rPr>
          <w:rFonts w:eastAsia="Calibri" w:cs="HelveticaNeueLTCom-Lt"/>
        </w:rPr>
        <w:t>Ghana</w:t>
      </w:r>
      <w:r>
        <w:rPr>
          <w:rFonts w:eastAsia="Calibri" w:cs="HelveticaNeueLTCom-Lt"/>
        </w:rPr>
        <w:t>, through an extensive consultative process and focus group discussions,</w:t>
      </w:r>
      <w:r w:rsidRPr="00343881">
        <w:rPr>
          <w:rFonts w:eastAsia="Calibri" w:cs="HelveticaNeueLTCom-Lt"/>
        </w:rPr>
        <w:t xml:space="preserve"> has included the full scope of REDD+ interventions as part of its strategy, but the implementation of these interventions </w:t>
      </w:r>
      <w:r>
        <w:rPr>
          <w:rFonts w:eastAsia="Calibri" w:cs="HelveticaNeueLTCom-Lt"/>
        </w:rPr>
        <w:t>depends</w:t>
      </w:r>
      <w:r w:rsidRPr="00343881">
        <w:rPr>
          <w:rFonts w:eastAsia="Calibri" w:cs="HelveticaNeueLTCom-Lt"/>
        </w:rPr>
        <w:t xml:space="preserve"> upon the availability of resources to implement the associated activities and the capacity to monitor and measure emission reductions or removals</w:t>
      </w:r>
      <w:r>
        <w:rPr>
          <w:rFonts w:eastAsia="Calibri" w:cs="HelveticaNeueLTCom-Lt"/>
        </w:rPr>
        <w:t xml:space="preserve">. </w:t>
      </w:r>
      <w:r w:rsidRPr="00343881">
        <w:rPr>
          <w:rFonts w:eastAsia="Calibri" w:cs="HelveticaNeueLTCom-Lt"/>
          <w:b/>
          <w:bCs/>
        </w:rPr>
        <w:t>One national and two sub-national programmes</w:t>
      </w:r>
      <w:r w:rsidRPr="00C4354E">
        <w:rPr>
          <w:rFonts w:eastAsia="Calibri" w:cs="HelveticaNeueLTCom-Lt"/>
        </w:rPr>
        <w:t xml:space="preserve"> have emerged as the priority REDD+ programmes for Ghana:</w:t>
      </w:r>
      <w:r w:rsidRPr="00C4354E">
        <w:rPr>
          <w:rFonts w:eastAsia="Calibri" w:cs="HelveticaNeueLTCom-Lt"/>
        </w:rPr>
        <w:tab/>
      </w:r>
    </w:p>
    <w:p w14:paraId="6A305CF3" w14:textId="77777777" w:rsidR="007A080B" w:rsidRDefault="007A080B" w:rsidP="007A080B">
      <w:pPr>
        <w:autoSpaceDE w:val="0"/>
        <w:autoSpaceDN w:val="0"/>
        <w:adjustRightInd w:val="0"/>
        <w:rPr>
          <w:rFonts w:eastAsia="Calibri" w:cs="HelveticaNeueLTCom-Lt"/>
        </w:rPr>
      </w:pPr>
      <w:r w:rsidRPr="00C4354E">
        <w:rPr>
          <w:rFonts w:eastAsia="Calibri" w:cs="HelveticaNeueLTCom-Lt"/>
        </w:rPr>
        <w:tab/>
      </w:r>
    </w:p>
    <w:p w14:paraId="5C6ABF53" w14:textId="23E0FBD4" w:rsidR="007A080B" w:rsidRPr="00343881" w:rsidRDefault="007A080B" w:rsidP="0039326F">
      <w:pPr>
        <w:pStyle w:val="ListParagraph"/>
        <w:numPr>
          <w:ilvl w:val="0"/>
          <w:numId w:val="2"/>
        </w:numPr>
        <w:autoSpaceDE w:val="0"/>
        <w:autoSpaceDN w:val="0"/>
        <w:adjustRightInd w:val="0"/>
        <w:rPr>
          <w:rFonts w:eastAsia="Calibri" w:cs="HelveticaNeueLTCom-Lt"/>
        </w:rPr>
      </w:pPr>
      <w:r w:rsidRPr="00343881">
        <w:rPr>
          <w:rFonts w:eastAsia="Calibri" w:cs="HelveticaNeueLTCom-Lt"/>
        </w:rPr>
        <w:t>The</w:t>
      </w:r>
      <w:r>
        <w:rPr>
          <w:rFonts w:eastAsia="Calibri" w:cs="HelveticaNeueLTCom-Lt"/>
        </w:rPr>
        <w:t xml:space="preserve"> </w:t>
      </w:r>
      <w:r w:rsidRPr="00343881">
        <w:rPr>
          <w:rFonts w:eastAsia="Calibri" w:cs="HelveticaNeueLTCom-Lt"/>
        </w:rPr>
        <w:t>Emission</w:t>
      </w:r>
      <w:r>
        <w:rPr>
          <w:rFonts w:eastAsia="Calibri" w:cs="HelveticaNeueLTCom-Lt"/>
        </w:rPr>
        <w:t xml:space="preserve"> </w:t>
      </w:r>
      <w:r w:rsidRPr="00343881">
        <w:rPr>
          <w:rFonts w:eastAsia="Calibri" w:cs="HelveticaNeueLTCom-Lt"/>
        </w:rPr>
        <w:t>Reductions</w:t>
      </w:r>
      <w:r>
        <w:rPr>
          <w:rFonts w:eastAsia="Calibri" w:cs="HelveticaNeueLTCom-Lt"/>
        </w:rPr>
        <w:t xml:space="preserve"> </w:t>
      </w:r>
      <w:r w:rsidRPr="00343881">
        <w:rPr>
          <w:rFonts w:eastAsia="Calibri" w:cs="HelveticaNeueLTCom-Lt"/>
        </w:rPr>
        <w:t>Programme</w:t>
      </w:r>
      <w:r>
        <w:rPr>
          <w:rFonts w:eastAsia="Calibri" w:cs="HelveticaNeueLTCom-Lt"/>
        </w:rPr>
        <w:t xml:space="preserve"> </w:t>
      </w:r>
      <w:r w:rsidR="00F6184D">
        <w:rPr>
          <w:rFonts w:eastAsia="Calibri" w:cs="HelveticaNeueLTCom-Lt"/>
        </w:rPr>
        <w:t xml:space="preserve">(ERP) </w:t>
      </w:r>
      <w:r w:rsidRPr="00343881">
        <w:rPr>
          <w:rFonts w:eastAsia="Calibri" w:cs="HelveticaNeueLTCom-Lt"/>
        </w:rPr>
        <w:t>for</w:t>
      </w:r>
      <w:r>
        <w:rPr>
          <w:rFonts w:eastAsia="Calibri" w:cs="HelveticaNeueLTCom-Lt"/>
        </w:rPr>
        <w:t xml:space="preserve"> </w:t>
      </w:r>
      <w:r w:rsidRPr="00343881">
        <w:rPr>
          <w:rFonts w:eastAsia="Calibri" w:cs="HelveticaNeueLTCom-Lt"/>
        </w:rPr>
        <w:t>the</w:t>
      </w:r>
      <w:r>
        <w:rPr>
          <w:rFonts w:eastAsia="Calibri" w:cs="HelveticaNeueLTCom-Lt"/>
        </w:rPr>
        <w:t xml:space="preserve"> </w:t>
      </w:r>
      <w:r w:rsidRPr="00343881">
        <w:rPr>
          <w:rFonts w:eastAsia="Calibri" w:cs="HelveticaNeueLTCom-Lt"/>
        </w:rPr>
        <w:t>Cocoa</w:t>
      </w:r>
      <w:r>
        <w:rPr>
          <w:rFonts w:eastAsia="Calibri" w:cs="HelveticaNeueLTCom-Lt"/>
        </w:rPr>
        <w:t xml:space="preserve"> </w:t>
      </w:r>
      <w:r w:rsidRPr="00343881">
        <w:rPr>
          <w:rFonts w:eastAsia="Calibri" w:cs="HelveticaNeueLTCom-Lt"/>
        </w:rPr>
        <w:t>Forest</w:t>
      </w:r>
      <w:r>
        <w:rPr>
          <w:rFonts w:eastAsia="Calibri" w:cs="HelveticaNeueLTCom-Lt"/>
        </w:rPr>
        <w:t xml:space="preserve"> </w:t>
      </w:r>
      <w:r w:rsidRPr="00343881">
        <w:rPr>
          <w:rFonts w:eastAsia="Calibri" w:cs="HelveticaNeueLTCom-Lt"/>
        </w:rPr>
        <w:t>Mosaic</w:t>
      </w:r>
      <w:r>
        <w:rPr>
          <w:rFonts w:eastAsia="Calibri" w:cs="HelveticaNeueLTCom-Lt"/>
        </w:rPr>
        <w:t xml:space="preserve"> </w:t>
      </w:r>
      <w:r w:rsidRPr="00343881">
        <w:rPr>
          <w:rFonts w:eastAsia="Calibri" w:cs="HelveticaNeueLTCom-Lt"/>
        </w:rPr>
        <w:t xml:space="preserve"> Landscape (The Cocoa-Forest REDD+ Programme).</w:t>
      </w:r>
    </w:p>
    <w:p w14:paraId="063AC652" w14:textId="2F3F4D14" w:rsidR="007A080B" w:rsidRDefault="007A080B" w:rsidP="0039326F">
      <w:pPr>
        <w:pStyle w:val="ListParagraph"/>
        <w:numPr>
          <w:ilvl w:val="0"/>
          <w:numId w:val="2"/>
        </w:numPr>
        <w:autoSpaceDE w:val="0"/>
        <w:autoSpaceDN w:val="0"/>
        <w:adjustRightInd w:val="0"/>
        <w:rPr>
          <w:rFonts w:eastAsia="Calibri" w:cs="HelveticaNeueLTCom-Lt"/>
        </w:rPr>
      </w:pPr>
      <w:r w:rsidRPr="00343881">
        <w:rPr>
          <w:rFonts w:eastAsia="Calibri" w:cs="HelveticaNeueLTCom-Lt"/>
        </w:rPr>
        <w:t>The</w:t>
      </w:r>
      <w:r>
        <w:rPr>
          <w:rFonts w:eastAsia="Calibri" w:cs="HelveticaNeueLTCom-Lt"/>
        </w:rPr>
        <w:t xml:space="preserve"> </w:t>
      </w:r>
      <w:r w:rsidRPr="00343881">
        <w:rPr>
          <w:rFonts w:eastAsia="Calibri" w:cs="HelveticaNeueLTCom-Lt"/>
        </w:rPr>
        <w:t>Emission</w:t>
      </w:r>
      <w:r>
        <w:rPr>
          <w:rFonts w:eastAsia="Calibri" w:cs="HelveticaNeueLTCom-Lt"/>
        </w:rPr>
        <w:t xml:space="preserve"> </w:t>
      </w:r>
      <w:r w:rsidRPr="00343881">
        <w:rPr>
          <w:rFonts w:eastAsia="Calibri" w:cs="HelveticaNeueLTCom-Lt"/>
        </w:rPr>
        <w:t>Reductions</w:t>
      </w:r>
      <w:r>
        <w:rPr>
          <w:rFonts w:eastAsia="Calibri" w:cs="HelveticaNeueLTCom-Lt"/>
        </w:rPr>
        <w:t xml:space="preserve"> </w:t>
      </w:r>
      <w:r w:rsidRPr="00343881">
        <w:rPr>
          <w:rFonts w:eastAsia="Calibri" w:cs="HelveticaNeueLTCom-Lt"/>
        </w:rPr>
        <w:t>Programme</w:t>
      </w:r>
      <w:r>
        <w:rPr>
          <w:rFonts w:eastAsia="Calibri" w:cs="HelveticaNeueLTCom-Lt"/>
        </w:rPr>
        <w:t xml:space="preserve"> </w:t>
      </w:r>
      <w:r w:rsidR="00F6184D">
        <w:rPr>
          <w:rFonts w:eastAsia="Calibri" w:cs="HelveticaNeueLTCom-Lt"/>
        </w:rPr>
        <w:t xml:space="preserve">(ERP) </w:t>
      </w:r>
      <w:r w:rsidRPr="00343881">
        <w:rPr>
          <w:rFonts w:eastAsia="Calibri" w:cs="HelveticaNeueLTCom-Lt"/>
        </w:rPr>
        <w:t>for</w:t>
      </w:r>
      <w:r>
        <w:rPr>
          <w:rFonts w:eastAsia="Calibri" w:cs="HelveticaNeueLTCom-Lt"/>
        </w:rPr>
        <w:t xml:space="preserve"> </w:t>
      </w:r>
      <w:r w:rsidRPr="00343881">
        <w:rPr>
          <w:rFonts w:eastAsia="Calibri" w:cs="HelveticaNeueLTCom-Lt"/>
        </w:rPr>
        <w:t>the</w:t>
      </w:r>
      <w:r>
        <w:rPr>
          <w:rFonts w:eastAsia="Calibri" w:cs="HelveticaNeueLTCom-Lt"/>
        </w:rPr>
        <w:t xml:space="preserve"> </w:t>
      </w:r>
      <w:r w:rsidRPr="00343881">
        <w:rPr>
          <w:rFonts w:eastAsia="Calibri" w:cs="HelveticaNeueLTCom-Lt"/>
        </w:rPr>
        <w:t>Shea</w:t>
      </w:r>
      <w:r>
        <w:rPr>
          <w:rFonts w:eastAsia="Calibri" w:cs="HelveticaNeueLTCom-Lt"/>
        </w:rPr>
        <w:t xml:space="preserve"> </w:t>
      </w:r>
      <w:r w:rsidRPr="00343881">
        <w:rPr>
          <w:rFonts w:eastAsia="Calibri" w:cs="HelveticaNeueLTCom-Lt"/>
        </w:rPr>
        <w:t>Landscape</w:t>
      </w:r>
      <w:r>
        <w:rPr>
          <w:rFonts w:eastAsia="Calibri" w:cs="HelveticaNeueLTCom-Lt"/>
        </w:rPr>
        <w:t xml:space="preserve"> </w:t>
      </w:r>
      <w:r w:rsidRPr="00343881">
        <w:rPr>
          <w:rFonts w:eastAsia="Calibri" w:cs="HelveticaNeueLTCom-Lt"/>
        </w:rPr>
        <w:t>of the Northern Savanna Woodland (The Shea Savanna Woodland</w:t>
      </w:r>
      <w:r>
        <w:rPr>
          <w:rFonts w:eastAsia="Calibri" w:cs="HelveticaNeueLTCom-Lt"/>
        </w:rPr>
        <w:t xml:space="preserve"> </w:t>
      </w:r>
      <w:r w:rsidRPr="00343881">
        <w:rPr>
          <w:rFonts w:eastAsia="Calibri" w:cs="HelveticaNeueLTCom-Lt"/>
        </w:rPr>
        <w:t>Programme)</w:t>
      </w:r>
      <w:r w:rsidRPr="00343881">
        <w:rPr>
          <w:rFonts w:eastAsia="Calibri" w:cs="HelveticaNeueLTCom-Lt"/>
        </w:rPr>
        <w:tab/>
      </w:r>
    </w:p>
    <w:p w14:paraId="17D6F23C" w14:textId="77777777" w:rsidR="007A080B" w:rsidRDefault="007A080B" w:rsidP="0039326F">
      <w:pPr>
        <w:pStyle w:val="ListParagraph"/>
        <w:numPr>
          <w:ilvl w:val="0"/>
          <w:numId w:val="2"/>
        </w:numPr>
        <w:autoSpaceDE w:val="0"/>
        <w:autoSpaceDN w:val="0"/>
        <w:adjustRightInd w:val="0"/>
        <w:rPr>
          <w:rFonts w:eastAsia="Calibri" w:cs="HelveticaNeueLTCom-Lt"/>
        </w:rPr>
      </w:pPr>
      <w:r w:rsidRPr="00343881">
        <w:rPr>
          <w:rFonts w:eastAsia="Calibri" w:cs="HelveticaNeueLTCom-Lt"/>
        </w:rPr>
        <w:t>Ghana’s</w:t>
      </w:r>
      <w:r>
        <w:rPr>
          <w:rFonts w:eastAsia="Calibri" w:cs="HelveticaNeueLTCom-Lt"/>
        </w:rPr>
        <w:t xml:space="preserve"> </w:t>
      </w:r>
      <w:r w:rsidRPr="00343881">
        <w:rPr>
          <w:rFonts w:eastAsia="Calibri" w:cs="HelveticaNeueLTCom-Lt"/>
        </w:rPr>
        <w:t>Programme</w:t>
      </w:r>
      <w:r>
        <w:rPr>
          <w:rFonts w:eastAsia="Calibri" w:cs="HelveticaNeueLTCom-Lt"/>
        </w:rPr>
        <w:t xml:space="preserve"> </w:t>
      </w:r>
      <w:r w:rsidRPr="00343881">
        <w:rPr>
          <w:rFonts w:eastAsia="Calibri" w:cs="HelveticaNeueLTCom-Lt"/>
        </w:rPr>
        <w:t>for</w:t>
      </w:r>
      <w:r w:rsidRPr="00343881">
        <w:rPr>
          <w:rFonts w:eastAsia="Calibri" w:cs="HelveticaNeueLTCom-Lt"/>
        </w:rPr>
        <w:tab/>
        <w:t>Policy</w:t>
      </w:r>
      <w:r>
        <w:rPr>
          <w:rFonts w:eastAsia="Calibri" w:cs="HelveticaNeueLTCom-Lt"/>
        </w:rPr>
        <w:t xml:space="preserve"> </w:t>
      </w:r>
      <w:r w:rsidRPr="00343881">
        <w:rPr>
          <w:rFonts w:eastAsia="Calibri" w:cs="HelveticaNeueLTCom-Lt"/>
        </w:rPr>
        <w:t>and</w:t>
      </w:r>
      <w:r>
        <w:rPr>
          <w:rFonts w:eastAsia="Calibri" w:cs="HelveticaNeueLTCom-Lt"/>
        </w:rPr>
        <w:t xml:space="preserve"> </w:t>
      </w:r>
      <w:r w:rsidRPr="00343881">
        <w:rPr>
          <w:rFonts w:eastAsia="Calibri" w:cs="HelveticaNeueLTCom-Lt"/>
        </w:rPr>
        <w:t>Legislative</w:t>
      </w:r>
      <w:r>
        <w:rPr>
          <w:rFonts w:eastAsia="Calibri" w:cs="HelveticaNeueLTCom-Lt"/>
        </w:rPr>
        <w:t xml:space="preserve"> </w:t>
      </w:r>
      <w:r w:rsidRPr="00343881">
        <w:rPr>
          <w:rFonts w:eastAsia="Calibri" w:cs="HelveticaNeueLTCom-Lt"/>
        </w:rPr>
        <w:t>Reforms</w:t>
      </w:r>
      <w:r>
        <w:rPr>
          <w:rFonts w:eastAsia="Calibri" w:cs="HelveticaNeueLTCom-Lt"/>
        </w:rPr>
        <w:t xml:space="preserve"> </w:t>
      </w:r>
      <w:r w:rsidRPr="00343881">
        <w:rPr>
          <w:rFonts w:eastAsia="Calibri" w:cs="HelveticaNeueLTCom-Lt"/>
        </w:rPr>
        <w:t>on</w:t>
      </w:r>
      <w:r>
        <w:rPr>
          <w:rFonts w:eastAsia="Calibri" w:cs="HelveticaNeueLTCom-Lt"/>
        </w:rPr>
        <w:t xml:space="preserve"> </w:t>
      </w:r>
      <w:r w:rsidRPr="00343881">
        <w:rPr>
          <w:rFonts w:eastAsia="Calibri" w:cs="HelveticaNeueLTCom-Lt"/>
        </w:rPr>
        <w:t>Tree  Tenure and Carbon Rights (Policy and Legislative Reform</w:t>
      </w:r>
      <w:r>
        <w:rPr>
          <w:rFonts w:eastAsia="Calibri" w:cs="HelveticaNeueLTCom-Lt"/>
        </w:rPr>
        <w:t xml:space="preserve"> </w:t>
      </w:r>
      <w:r w:rsidRPr="00343881">
        <w:rPr>
          <w:rFonts w:eastAsia="Calibri" w:cs="HelveticaNeueLTCom-Lt"/>
        </w:rPr>
        <w:t>Programme).</w:t>
      </w:r>
    </w:p>
    <w:p w14:paraId="2C17B559" w14:textId="77777777" w:rsidR="007A080B" w:rsidRDefault="007A080B" w:rsidP="007A080B">
      <w:pPr>
        <w:autoSpaceDE w:val="0"/>
        <w:autoSpaceDN w:val="0"/>
        <w:adjustRightInd w:val="0"/>
        <w:rPr>
          <w:rFonts w:eastAsia="Calibri" w:cs="HelveticaNeueLTCom-Lt"/>
        </w:rPr>
      </w:pPr>
    </w:p>
    <w:p w14:paraId="2494F119" w14:textId="77777777" w:rsidR="007A080B" w:rsidRDefault="007A080B" w:rsidP="007A080B">
      <w:pPr>
        <w:autoSpaceDE w:val="0"/>
        <w:autoSpaceDN w:val="0"/>
        <w:adjustRightInd w:val="0"/>
        <w:rPr>
          <w:rFonts w:eastAsia="Calibri" w:cs="HelveticaNeueLTCom-Lt"/>
        </w:rPr>
      </w:pPr>
      <w:r w:rsidRPr="00343881">
        <w:rPr>
          <w:rFonts w:eastAsia="Calibri" w:cs="HelveticaNeueLTCom-Lt"/>
        </w:rPr>
        <w:t>The strategy also identifies three other programmes that require further analysis and consideration for REDD+ implementation in Ghana:</w:t>
      </w:r>
      <w:r w:rsidRPr="00343881">
        <w:rPr>
          <w:rFonts w:eastAsia="Calibri" w:cs="HelveticaNeueLTCom-Lt"/>
        </w:rPr>
        <w:tab/>
      </w:r>
    </w:p>
    <w:p w14:paraId="00F216CA" w14:textId="77777777" w:rsidR="007A080B" w:rsidRDefault="007A080B" w:rsidP="0039326F">
      <w:pPr>
        <w:pStyle w:val="ListParagraph"/>
        <w:numPr>
          <w:ilvl w:val="0"/>
          <w:numId w:val="6"/>
        </w:numPr>
        <w:autoSpaceDE w:val="0"/>
        <w:autoSpaceDN w:val="0"/>
        <w:adjustRightInd w:val="0"/>
        <w:rPr>
          <w:rFonts w:eastAsia="Calibri" w:cs="HelveticaNeueLTCom-Lt"/>
        </w:rPr>
      </w:pPr>
      <w:r w:rsidRPr="00343881">
        <w:rPr>
          <w:rFonts w:eastAsia="Calibri" w:cs="HelveticaNeueLTCom-Lt"/>
        </w:rPr>
        <w:t>Emission</w:t>
      </w:r>
      <w:r>
        <w:rPr>
          <w:rFonts w:eastAsia="Calibri" w:cs="HelveticaNeueLTCom-Lt"/>
        </w:rPr>
        <w:t xml:space="preserve"> </w:t>
      </w:r>
      <w:r w:rsidRPr="00343881">
        <w:rPr>
          <w:rFonts w:eastAsia="Calibri" w:cs="HelveticaNeueLTCom-Lt"/>
        </w:rPr>
        <w:t>Reductions</w:t>
      </w:r>
      <w:r>
        <w:rPr>
          <w:rFonts w:eastAsia="Calibri" w:cs="HelveticaNeueLTCom-Lt"/>
        </w:rPr>
        <w:t xml:space="preserve"> </w:t>
      </w:r>
      <w:r w:rsidRPr="00343881">
        <w:rPr>
          <w:rFonts w:eastAsia="Calibri" w:cs="HelveticaNeueLTCom-Lt"/>
        </w:rPr>
        <w:t>Programme</w:t>
      </w:r>
      <w:r>
        <w:rPr>
          <w:rFonts w:eastAsia="Calibri" w:cs="HelveticaNeueLTCom-Lt"/>
        </w:rPr>
        <w:t xml:space="preserve"> </w:t>
      </w:r>
      <w:r w:rsidRPr="00343881">
        <w:rPr>
          <w:rFonts w:eastAsia="Calibri" w:cs="HelveticaNeueLTCom-Lt"/>
        </w:rPr>
        <w:t>for</w:t>
      </w:r>
      <w:r>
        <w:rPr>
          <w:rFonts w:eastAsia="Calibri" w:cs="HelveticaNeueLTCom-Lt"/>
        </w:rPr>
        <w:t xml:space="preserve"> </w:t>
      </w:r>
      <w:r w:rsidRPr="00343881">
        <w:rPr>
          <w:rFonts w:eastAsia="Calibri" w:cs="HelveticaNeueLTCom-Lt"/>
        </w:rPr>
        <w:t>the</w:t>
      </w:r>
      <w:r w:rsidRPr="00343881">
        <w:rPr>
          <w:rFonts w:eastAsia="Calibri" w:cs="HelveticaNeueLTCom-Lt"/>
        </w:rPr>
        <w:tab/>
      </w:r>
      <w:r>
        <w:rPr>
          <w:rFonts w:eastAsia="Calibri" w:cs="HelveticaNeueLTCom-Lt"/>
        </w:rPr>
        <w:t xml:space="preserve"> </w:t>
      </w:r>
      <w:r w:rsidRPr="00343881">
        <w:rPr>
          <w:rFonts w:eastAsia="Calibri" w:cs="HelveticaNeueLTCom-Lt"/>
        </w:rPr>
        <w:t>Transitional</w:t>
      </w:r>
      <w:r>
        <w:rPr>
          <w:rFonts w:eastAsia="Calibri" w:cs="HelveticaNeueLTCom-Lt"/>
        </w:rPr>
        <w:t xml:space="preserve"> </w:t>
      </w:r>
      <w:r w:rsidRPr="00343881">
        <w:rPr>
          <w:rFonts w:eastAsia="Calibri" w:cs="HelveticaNeueLTCom-Lt"/>
        </w:rPr>
        <w:t>Forest Landscape;</w:t>
      </w:r>
      <w:r w:rsidRPr="00343881">
        <w:rPr>
          <w:rFonts w:eastAsia="Calibri" w:cs="HelveticaNeueLTCom-Lt"/>
        </w:rPr>
        <w:tab/>
      </w:r>
    </w:p>
    <w:p w14:paraId="6260FA87" w14:textId="77777777" w:rsidR="007A080B" w:rsidRPr="00343881" w:rsidRDefault="007A080B" w:rsidP="0039326F">
      <w:pPr>
        <w:pStyle w:val="ListParagraph"/>
        <w:numPr>
          <w:ilvl w:val="0"/>
          <w:numId w:val="6"/>
        </w:numPr>
        <w:autoSpaceDE w:val="0"/>
        <w:autoSpaceDN w:val="0"/>
        <w:adjustRightInd w:val="0"/>
        <w:rPr>
          <w:rFonts w:eastAsia="Calibri" w:cs="HelveticaNeueLTCom-Lt"/>
        </w:rPr>
      </w:pPr>
      <w:r w:rsidRPr="00343881">
        <w:rPr>
          <w:rFonts w:eastAsia="Calibri" w:cs="HelveticaNeueLTCom-Lt"/>
        </w:rPr>
        <w:t>Emission</w:t>
      </w:r>
      <w:r>
        <w:rPr>
          <w:rFonts w:eastAsia="Calibri" w:cs="HelveticaNeueLTCom-Lt"/>
        </w:rPr>
        <w:t xml:space="preserve"> </w:t>
      </w:r>
      <w:r w:rsidRPr="00343881">
        <w:rPr>
          <w:rFonts w:eastAsia="Calibri" w:cs="HelveticaNeueLTCom-Lt"/>
        </w:rPr>
        <w:t>Reductions</w:t>
      </w:r>
      <w:r>
        <w:rPr>
          <w:rFonts w:eastAsia="Calibri" w:cs="HelveticaNeueLTCom-Lt"/>
        </w:rPr>
        <w:t xml:space="preserve"> </w:t>
      </w:r>
      <w:r w:rsidRPr="00343881">
        <w:rPr>
          <w:rFonts w:eastAsia="Calibri" w:cs="HelveticaNeueLTCom-Lt"/>
        </w:rPr>
        <w:t>Programme</w:t>
      </w:r>
      <w:r>
        <w:rPr>
          <w:rFonts w:eastAsia="Calibri" w:cs="HelveticaNeueLTCom-Lt"/>
        </w:rPr>
        <w:t xml:space="preserve"> </w:t>
      </w:r>
      <w:r w:rsidRPr="00343881">
        <w:rPr>
          <w:rFonts w:eastAsia="Calibri" w:cs="HelveticaNeueLTCom-Lt"/>
        </w:rPr>
        <w:t>for</w:t>
      </w:r>
      <w:r>
        <w:rPr>
          <w:rFonts w:eastAsia="Calibri" w:cs="HelveticaNeueLTCom-Lt"/>
        </w:rPr>
        <w:t xml:space="preserve"> </w:t>
      </w:r>
      <w:r w:rsidRPr="00343881">
        <w:rPr>
          <w:rFonts w:eastAsia="Calibri" w:cs="HelveticaNeueLTCom-Lt"/>
        </w:rPr>
        <w:t>the</w:t>
      </w:r>
      <w:r>
        <w:rPr>
          <w:rFonts w:eastAsia="Calibri" w:cs="HelveticaNeueLTCom-Lt"/>
        </w:rPr>
        <w:t xml:space="preserve"> </w:t>
      </w:r>
      <w:r w:rsidRPr="00343881">
        <w:rPr>
          <w:rFonts w:eastAsia="Calibri" w:cs="HelveticaNeueLTCom-Lt"/>
        </w:rPr>
        <w:t>Coastal</w:t>
      </w:r>
      <w:r w:rsidRPr="00343881">
        <w:rPr>
          <w:rFonts w:eastAsia="Calibri" w:cs="HelveticaNeueLTCom-Lt"/>
        </w:rPr>
        <w:tab/>
        <w:t>Mangroves;</w:t>
      </w:r>
    </w:p>
    <w:p w14:paraId="3D780142" w14:textId="77777777" w:rsidR="007A080B" w:rsidRPr="00343881" w:rsidRDefault="007A080B" w:rsidP="0039326F">
      <w:pPr>
        <w:pStyle w:val="ListParagraph"/>
        <w:numPr>
          <w:ilvl w:val="0"/>
          <w:numId w:val="6"/>
        </w:numPr>
        <w:autoSpaceDE w:val="0"/>
        <w:autoSpaceDN w:val="0"/>
        <w:adjustRightInd w:val="0"/>
        <w:rPr>
          <w:rFonts w:eastAsia="Calibri" w:cs="HelveticaNeueLTCom-Lt"/>
        </w:rPr>
      </w:pPr>
      <w:r w:rsidRPr="00343881">
        <w:rPr>
          <w:rFonts w:eastAsia="Calibri" w:cs="HelveticaNeueLTCom-Lt"/>
        </w:rPr>
        <w:t>Emission</w:t>
      </w:r>
      <w:r>
        <w:rPr>
          <w:rFonts w:eastAsia="Calibri" w:cs="HelveticaNeueLTCom-Lt"/>
        </w:rPr>
        <w:t xml:space="preserve"> </w:t>
      </w:r>
      <w:r w:rsidRPr="00343881">
        <w:rPr>
          <w:rFonts w:eastAsia="Calibri" w:cs="HelveticaNeueLTCom-Lt"/>
        </w:rPr>
        <w:t>Reductions</w:t>
      </w:r>
      <w:r>
        <w:rPr>
          <w:rFonts w:eastAsia="Calibri" w:cs="HelveticaNeueLTCom-Lt"/>
        </w:rPr>
        <w:t xml:space="preserve"> </w:t>
      </w:r>
      <w:r w:rsidRPr="00343881">
        <w:rPr>
          <w:rFonts w:eastAsia="Calibri" w:cs="HelveticaNeueLTCom-Lt"/>
        </w:rPr>
        <w:t>for</w:t>
      </w:r>
      <w:r w:rsidRPr="00343881">
        <w:rPr>
          <w:rFonts w:eastAsia="Calibri" w:cs="HelveticaNeueLTCom-Lt"/>
        </w:rPr>
        <w:tab/>
      </w:r>
      <w:r>
        <w:rPr>
          <w:rFonts w:eastAsia="Calibri" w:cs="HelveticaNeueLTCom-Lt"/>
        </w:rPr>
        <w:t xml:space="preserve"> </w:t>
      </w:r>
      <w:r w:rsidRPr="00343881">
        <w:rPr>
          <w:rFonts w:eastAsia="Calibri" w:cs="HelveticaNeueLTCom-Lt"/>
        </w:rPr>
        <w:t>the</w:t>
      </w:r>
      <w:r>
        <w:rPr>
          <w:rFonts w:eastAsia="Calibri" w:cs="HelveticaNeueLTCom-Lt"/>
        </w:rPr>
        <w:t xml:space="preserve"> </w:t>
      </w:r>
      <w:r w:rsidRPr="00343881">
        <w:rPr>
          <w:rFonts w:eastAsia="Calibri" w:cs="HelveticaNeueLTCom-Lt"/>
        </w:rPr>
        <w:t>Togo</w:t>
      </w:r>
      <w:r>
        <w:rPr>
          <w:rFonts w:eastAsia="Calibri" w:cs="HelveticaNeueLTCom-Lt"/>
        </w:rPr>
        <w:t xml:space="preserve"> </w:t>
      </w:r>
      <w:r w:rsidRPr="00343881">
        <w:rPr>
          <w:rFonts w:eastAsia="Calibri" w:cs="HelveticaNeueLTCom-Lt"/>
        </w:rPr>
        <w:t>Plateau</w:t>
      </w:r>
    </w:p>
    <w:p w14:paraId="3FD51BB7" w14:textId="77777777" w:rsidR="007A080B" w:rsidRPr="00713986" w:rsidRDefault="007A080B" w:rsidP="007A080B">
      <w:pPr>
        <w:autoSpaceDE w:val="0"/>
        <w:autoSpaceDN w:val="0"/>
        <w:adjustRightInd w:val="0"/>
        <w:rPr>
          <w:rFonts w:eastAsia="Calibri" w:cs="HelveticaNeueLTCom-Lt"/>
        </w:rPr>
      </w:pPr>
      <w:r w:rsidRPr="00713986">
        <w:rPr>
          <w:rFonts w:eastAsia="Calibri" w:cs="HelveticaNeueLTCom-Lt"/>
        </w:rPr>
        <w:t xml:space="preserve"> </w:t>
      </w:r>
    </w:p>
    <w:p w14:paraId="6D95140B" w14:textId="05B8BC35" w:rsidR="007A080B" w:rsidRPr="00713986" w:rsidRDefault="007A080B" w:rsidP="007A080B">
      <w:pPr>
        <w:autoSpaceDE w:val="0"/>
        <w:autoSpaceDN w:val="0"/>
        <w:adjustRightInd w:val="0"/>
        <w:rPr>
          <w:rFonts w:eastAsia="Calibri" w:cs="HelveticaNeueLTCom-Lt"/>
        </w:rPr>
      </w:pPr>
      <w:r>
        <w:rPr>
          <w:rFonts w:eastAsia="Calibri" w:cs="HelveticaNeueLTCom-Lt"/>
        </w:rPr>
        <w:t xml:space="preserve">In keeping with these suggested interventions, </w:t>
      </w:r>
      <w:r w:rsidRPr="00713986">
        <w:rPr>
          <w:rFonts w:eastAsia="Calibri" w:cs="HelveticaNeueLTCom-Lt"/>
        </w:rPr>
        <w:t xml:space="preserve">Ghana has adopted a </w:t>
      </w:r>
      <w:r w:rsidR="00F6184D">
        <w:rPr>
          <w:rFonts w:eastAsia="Calibri" w:cs="HelveticaNeueLTCom-Lt"/>
        </w:rPr>
        <w:t>sub-national</w:t>
      </w:r>
      <w:r w:rsidR="00F6184D" w:rsidRPr="00713986">
        <w:rPr>
          <w:rFonts w:eastAsia="Calibri" w:cs="HelveticaNeueLTCom-Lt"/>
        </w:rPr>
        <w:t xml:space="preserve"> </w:t>
      </w:r>
      <w:r w:rsidRPr="00713986">
        <w:rPr>
          <w:rFonts w:eastAsia="Calibri" w:cs="HelveticaNeueLTCom-Lt"/>
        </w:rPr>
        <w:t xml:space="preserve">approach for implementation of REDD+ in a phased programmatic approach with initial focus on the High Forest Zone and scaling up to cover the other distinct major ecological zones of the country such as the Savanna Zone. The proposed measures and interventions targeted at addressing the drivers of deforestation and forest degradation are linked with the production and supply chains of major commodities and defined by clear ecological boundaries. The National REDD+ Strategy is meant to serve as a guide and framework for achieving REDD+ in a well-coordinated manner by pursuing a broad set of actions to tackle deforestation and forest degradation at </w:t>
      </w:r>
      <w:r w:rsidR="00F6184D">
        <w:rPr>
          <w:rFonts w:eastAsia="Calibri" w:cs="HelveticaNeueLTCom-Lt"/>
        </w:rPr>
        <w:t xml:space="preserve">all </w:t>
      </w:r>
      <w:r w:rsidRPr="00713986">
        <w:rPr>
          <w:rFonts w:eastAsia="Calibri" w:cs="HelveticaNeueLTCom-Lt"/>
        </w:rPr>
        <w:t>the landscape level</w:t>
      </w:r>
      <w:r w:rsidR="00F6184D">
        <w:rPr>
          <w:rFonts w:eastAsia="Calibri" w:cs="HelveticaNeueLTCom-Lt"/>
        </w:rPr>
        <w:t>s</w:t>
      </w:r>
      <w:r w:rsidRPr="00713986">
        <w:rPr>
          <w:rFonts w:eastAsia="Calibri" w:cs="HelveticaNeueLTCom-Lt"/>
        </w:rPr>
        <w:t xml:space="preserve">.  </w:t>
      </w:r>
    </w:p>
    <w:p w14:paraId="0B2EDEAA" w14:textId="77777777" w:rsidR="007A080B" w:rsidRPr="00713986" w:rsidRDefault="007A080B" w:rsidP="007A080B">
      <w:pPr>
        <w:autoSpaceDE w:val="0"/>
        <w:autoSpaceDN w:val="0"/>
        <w:adjustRightInd w:val="0"/>
        <w:rPr>
          <w:rFonts w:eastAsia="Calibri" w:cs="HelveticaNeueLTCom-Lt"/>
        </w:rPr>
      </w:pPr>
      <w:r w:rsidRPr="00713986">
        <w:rPr>
          <w:rFonts w:eastAsia="Calibri" w:cs="HelveticaNeueLTCom-Lt"/>
        </w:rPr>
        <w:t xml:space="preserve"> </w:t>
      </w:r>
    </w:p>
    <w:p w14:paraId="2020CC31" w14:textId="2B6161BD" w:rsidR="007A080B" w:rsidRDefault="007A080B" w:rsidP="007A080B">
      <w:pPr>
        <w:autoSpaceDE w:val="0"/>
        <w:autoSpaceDN w:val="0"/>
        <w:adjustRightInd w:val="0"/>
        <w:rPr>
          <w:rFonts w:eastAsia="Calibri" w:cs="HelveticaNeueLTCom-Lt"/>
        </w:rPr>
      </w:pPr>
      <w:r w:rsidRPr="00713986">
        <w:rPr>
          <w:rFonts w:eastAsia="Calibri" w:cs="HelveticaNeueLTCom-Lt"/>
        </w:rPr>
        <w:t>Ghana’s strategy is to implement REDD+ at a national scale, but to roll out concerted actions and activities at subnational landscape scales</w:t>
      </w:r>
      <w:r>
        <w:rPr>
          <w:rFonts w:eastAsia="Calibri" w:cs="HelveticaNeueLTCom-Lt"/>
        </w:rPr>
        <w:t xml:space="preserve">, focusing </w:t>
      </w:r>
      <w:r w:rsidRPr="00713986">
        <w:rPr>
          <w:rFonts w:eastAsia="Calibri" w:cs="HelveticaNeueLTCom-Lt"/>
        </w:rPr>
        <w:t xml:space="preserve">on the implementation of large scale, sub-national </w:t>
      </w:r>
      <w:r w:rsidRPr="005A1873">
        <w:rPr>
          <w:rFonts w:eastAsia="Calibri" w:cs="HelveticaNeueLTCom-Lt"/>
          <w:color w:val="000000" w:themeColor="text1"/>
        </w:rPr>
        <w:t xml:space="preserve">programmes that follow ecological boundaries (jurisdictions) and are defined by major commodities </w:t>
      </w:r>
      <w:r w:rsidR="00F21F8F" w:rsidRPr="005A1873">
        <w:rPr>
          <w:rFonts w:eastAsia="Calibri" w:cs="HelveticaNeueLTCom-Lt"/>
          <w:color w:val="000000" w:themeColor="text1"/>
        </w:rPr>
        <w:t xml:space="preserve">such as cocoa </w:t>
      </w:r>
      <w:r w:rsidRPr="005A1873">
        <w:rPr>
          <w:rFonts w:eastAsia="Calibri" w:cs="HelveticaNeueLTCom-Lt"/>
          <w:color w:val="000000" w:themeColor="text1"/>
        </w:rPr>
        <w:t xml:space="preserve">and drivers of deforestation and degradation, within a set of over-arching, national activities and the encompassing national REDD+ framework. </w:t>
      </w:r>
    </w:p>
    <w:p w14:paraId="254642A1" w14:textId="77777777" w:rsidR="007A080B" w:rsidRDefault="007A080B" w:rsidP="007A080B">
      <w:pPr>
        <w:autoSpaceDE w:val="0"/>
        <w:autoSpaceDN w:val="0"/>
        <w:adjustRightInd w:val="0"/>
        <w:rPr>
          <w:rFonts w:eastAsia="Calibri" w:cs="HelveticaNeueLTCom-Lt"/>
        </w:rPr>
      </w:pPr>
    </w:p>
    <w:p w14:paraId="1376D144" w14:textId="29B7E680" w:rsidR="007A080B" w:rsidRDefault="007A080B" w:rsidP="007A080B">
      <w:pPr>
        <w:autoSpaceDE w:val="0"/>
        <w:autoSpaceDN w:val="0"/>
        <w:adjustRightInd w:val="0"/>
        <w:rPr>
          <w:rFonts w:eastAsia="Calibri" w:cs="HelveticaNeueLTCom-Lt"/>
        </w:rPr>
      </w:pPr>
      <w:r w:rsidRPr="00713986">
        <w:rPr>
          <w:rFonts w:eastAsia="Calibri" w:cs="HelveticaNeueLTCom-Lt"/>
        </w:rPr>
        <w:t>This dual national</w:t>
      </w:r>
      <w:r>
        <w:rPr>
          <w:rFonts w:eastAsia="Calibri" w:cs="HelveticaNeueLTCom-Lt"/>
        </w:rPr>
        <w:t xml:space="preserve"> </w:t>
      </w:r>
      <w:r w:rsidRPr="00713986">
        <w:rPr>
          <w:rFonts w:eastAsia="Calibri" w:cs="HelveticaNeueLTCom-Lt"/>
        </w:rPr>
        <w:t>jurisdictional approach to implementation enables landscape scale actions and cross-sector collaboration, coupled with private sector participation and communitybased mobilization</w:t>
      </w:r>
      <w:r w:rsidR="00D75DCF">
        <w:rPr>
          <w:rFonts w:eastAsia="Calibri" w:cs="HelveticaNeueLTCom-Lt"/>
        </w:rPr>
        <w:t>. T</w:t>
      </w:r>
      <w:r w:rsidRPr="00713986">
        <w:rPr>
          <w:rFonts w:eastAsia="Calibri" w:cs="HelveticaNeueLTCom-Lt"/>
        </w:rPr>
        <w:t xml:space="preserve">ogether </w:t>
      </w:r>
      <w:r w:rsidR="00D75DCF">
        <w:rPr>
          <w:rFonts w:eastAsia="Calibri" w:cs="HelveticaNeueLTCom-Lt"/>
        </w:rPr>
        <w:t xml:space="preserve">they </w:t>
      </w:r>
      <w:r w:rsidRPr="00713986">
        <w:rPr>
          <w:rFonts w:eastAsia="Calibri" w:cs="HelveticaNeueLTCom-Lt"/>
        </w:rPr>
        <w:t>will produce collective impacts, while promoting the operational and accounting efficiencies that come from using a single set of systems and processes. The eco-zone jurisdictional boundaries were designated based on Ghana’s nine forest ecosystem types</w:t>
      </w:r>
      <w:r>
        <w:rPr>
          <w:rStyle w:val="FootnoteReference"/>
          <w:rFonts w:eastAsia="Calibri" w:cs="HelveticaNeueLTCom-Lt"/>
        </w:rPr>
        <w:footnoteReference w:id="8"/>
      </w:r>
      <w:r w:rsidRPr="00713986">
        <w:rPr>
          <w:rFonts w:eastAsia="Calibri" w:cs="HelveticaNeueLTCom-Lt"/>
        </w:rPr>
        <w:t>.</w:t>
      </w:r>
    </w:p>
    <w:p w14:paraId="72D1AC40" w14:textId="64502C1B" w:rsidR="00D054F4" w:rsidRDefault="00D054F4" w:rsidP="00D054F4">
      <w:pPr>
        <w:pStyle w:val="Heading2"/>
      </w:pPr>
    </w:p>
    <w:p w14:paraId="72B8E790" w14:textId="39AF0A0A" w:rsidR="007A080B" w:rsidRPr="007A080B" w:rsidRDefault="004F4F36">
      <w:pPr>
        <w:pStyle w:val="Heading2"/>
      </w:pPr>
      <w:bookmarkStart w:id="5" w:name="_Toc523385921"/>
      <w:r>
        <w:t>Ghana Cocoa-Forest REDD+ Program (GCFRP)</w:t>
      </w:r>
      <w:bookmarkEnd w:id="5"/>
    </w:p>
    <w:p w14:paraId="25C44170" w14:textId="77777777" w:rsidR="00D054F4" w:rsidRDefault="00D054F4" w:rsidP="00D054F4">
      <w:pPr>
        <w:pStyle w:val="CommentText"/>
        <w:rPr>
          <w:sz w:val="22"/>
          <w:szCs w:val="22"/>
        </w:rPr>
      </w:pPr>
    </w:p>
    <w:p w14:paraId="750F28AC" w14:textId="47018C46" w:rsidR="00D054F4" w:rsidRPr="000D42EE" w:rsidRDefault="004F4F36" w:rsidP="00D054F4">
      <w:pPr>
        <w:pStyle w:val="CommentText"/>
        <w:rPr>
          <w:sz w:val="22"/>
          <w:szCs w:val="22"/>
        </w:rPr>
      </w:pPr>
      <w:r>
        <w:rPr>
          <w:sz w:val="22"/>
          <w:szCs w:val="22"/>
        </w:rPr>
        <w:t>As mentioned, t</w:t>
      </w:r>
      <w:r w:rsidR="00D054F4" w:rsidRPr="000D42EE">
        <w:rPr>
          <w:sz w:val="22"/>
          <w:szCs w:val="22"/>
        </w:rPr>
        <w:t xml:space="preserve">he vision of Ghana’s National REDD+ Strategy is to significantly reduce emissions from deforestation and forest degradation, while at the same time addressing threats that undermine ecosystem services and environmental integrity so as to maximize the co-benefits of the forests, and </w:t>
      </w:r>
      <w:r w:rsidR="00D054F4" w:rsidRPr="000D42EE">
        <w:rPr>
          <w:sz w:val="22"/>
          <w:szCs w:val="22"/>
        </w:rPr>
        <w:lastRenderedPageBreak/>
        <w:t>serve as a pillar of action for the national climate change agenda and a leading pathway towards sustainable, low emissions development</w:t>
      </w:r>
      <w:r w:rsidR="00D054F4">
        <w:rPr>
          <w:rStyle w:val="FootnoteReference"/>
          <w:sz w:val="22"/>
          <w:szCs w:val="22"/>
        </w:rPr>
        <w:footnoteReference w:id="9"/>
      </w:r>
      <w:r w:rsidR="00D054F4" w:rsidRPr="000D42EE">
        <w:rPr>
          <w:sz w:val="22"/>
          <w:szCs w:val="22"/>
        </w:rPr>
        <w:t xml:space="preserve">.   </w:t>
      </w:r>
    </w:p>
    <w:p w14:paraId="4B774343" w14:textId="3EC1A20C" w:rsidR="00D054F4" w:rsidRPr="000D42EE" w:rsidRDefault="00D054F4" w:rsidP="00D054F4">
      <w:pPr>
        <w:pStyle w:val="CommentText"/>
        <w:rPr>
          <w:sz w:val="22"/>
          <w:szCs w:val="22"/>
        </w:rPr>
      </w:pPr>
    </w:p>
    <w:p w14:paraId="395C4F43" w14:textId="36C0BE46" w:rsidR="00D054F4" w:rsidRDefault="00D054F4" w:rsidP="00D054F4">
      <w:pPr>
        <w:pStyle w:val="CommentText"/>
        <w:rPr>
          <w:sz w:val="22"/>
          <w:szCs w:val="22"/>
        </w:rPr>
      </w:pPr>
      <w:r w:rsidRPr="000D42EE">
        <w:rPr>
          <w:sz w:val="22"/>
          <w:szCs w:val="22"/>
        </w:rPr>
        <w:t>The G</w:t>
      </w:r>
      <w:r>
        <w:rPr>
          <w:sz w:val="22"/>
          <w:szCs w:val="22"/>
        </w:rPr>
        <w:t xml:space="preserve">hana </w:t>
      </w:r>
      <w:r w:rsidRPr="000D42EE">
        <w:rPr>
          <w:sz w:val="22"/>
          <w:szCs w:val="22"/>
        </w:rPr>
        <w:t>C</w:t>
      </w:r>
      <w:r>
        <w:rPr>
          <w:sz w:val="22"/>
          <w:szCs w:val="22"/>
        </w:rPr>
        <w:t>ocoa-</w:t>
      </w:r>
      <w:r w:rsidRPr="000D42EE">
        <w:rPr>
          <w:sz w:val="22"/>
          <w:szCs w:val="22"/>
        </w:rPr>
        <w:t>F</w:t>
      </w:r>
      <w:r>
        <w:rPr>
          <w:sz w:val="22"/>
          <w:szCs w:val="22"/>
        </w:rPr>
        <w:t xml:space="preserve">orests </w:t>
      </w:r>
      <w:r w:rsidRPr="000D42EE">
        <w:rPr>
          <w:sz w:val="22"/>
          <w:szCs w:val="22"/>
        </w:rPr>
        <w:t>R</w:t>
      </w:r>
      <w:r>
        <w:rPr>
          <w:sz w:val="22"/>
          <w:szCs w:val="22"/>
        </w:rPr>
        <w:t xml:space="preserve">EDD+ </w:t>
      </w:r>
      <w:r w:rsidRPr="000D42EE">
        <w:rPr>
          <w:sz w:val="22"/>
          <w:szCs w:val="22"/>
        </w:rPr>
        <w:t>P</w:t>
      </w:r>
      <w:r>
        <w:rPr>
          <w:sz w:val="22"/>
          <w:szCs w:val="22"/>
        </w:rPr>
        <w:t>rogram (GCFRP)</w:t>
      </w:r>
      <w:r w:rsidRPr="000D42EE">
        <w:rPr>
          <w:sz w:val="22"/>
          <w:szCs w:val="22"/>
        </w:rPr>
        <w:t xml:space="preserve"> is a key pillar of the National REDD+ Strategy.  It is the first programme to be developed and implemented</w:t>
      </w:r>
      <w:r w:rsidR="001121BC">
        <w:rPr>
          <w:sz w:val="22"/>
          <w:szCs w:val="22"/>
        </w:rPr>
        <w:t xml:space="preserve"> under the Strategy</w:t>
      </w:r>
      <w:r w:rsidRPr="000D42EE">
        <w:rPr>
          <w:sz w:val="22"/>
          <w:szCs w:val="22"/>
        </w:rPr>
        <w:t xml:space="preserve">, and it will serve to test many of Ghana’s REDD+ systems, processes, and policies, including Ghana’s MRV system, the FGRM, the ESMF, and reforms to tree tenure and benefit sharing.  As such, the lessons and experiences from implementing and monitoring the GCFRP will directly inform the development and roll-out of the </w:t>
      </w:r>
      <w:r w:rsidR="001121BC">
        <w:rPr>
          <w:sz w:val="22"/>
          <w:szCs w:val="22"/>
        </w:rPr>
        <w:t xml:space="preserve">subsequent </w:t>
      </w:r>
      <w:r w:rsidRPr="000D42EE">
        <w:rPr>
          <w:sz w:val="22"/>
          <w:szCs w:val="22"/>
        </w:rPr>
        <w:t xml:space="preserve">programmes, including </w:t>
      </w:r>
      <w:r w:rsidR="001121BC">
        <w:rPr>
          <w:sz w:val="22"/>
          <w:szCs w:val="22"/>
        </w:rPr>
        <w:t>the</w:t>
      </w:r>
      <w:r w:rsidR="001121BC" w:rsidRPr="000D42EE">
        <w:rPr>
          <w:sz w:val="22"/>
          <w:szCs w:val="22"/>
        </w:rPr>
        <w:t xml:space="preserve"> </w:t>
      </w:r>
      <w:r w:rsidRPr="000D42EE">
        <w:rPr>
          <w:sz w:val="22"/>
          <w:szCs w:val="22"/>
        </w:rPr>
        <w:t>Emission Reductions Programme for the Shea Landscape of the Northern Savanna Woodland</w:t>
      </w:r>
      <w:r>
        <w:rPr>
          <w:rStyle w:val="FootnoteReference"/>
          <w:sz w:val="22"/>
          <w:szCs w:val="22"/>
        </w:rPr>
        <w:footnoteReference w:id="10"/>
      </w:r>
      <w:r w:rsidRPr="000D42EE">
        <w:rPr>
          <w:sz w:val="22"/>
          <w:szCs w:val="22"/>
        </w:rPr>
        <w:t>.</w:t>
      </w:r>
    </w:p>
    <w:p w14:paraId="255982BA" w14:textId="77777777" w:rsidR="00D054F4" w:rsidRDefault="00D054F4" w:rsidP="00D054F4">
      <w:pPr>
        <w:pStyle w:val="CommentText"/>
        <w:rPr>
          <w:sz w:val="22"/>
          <w:szCs w:val="22"/>
        </w:rPr>
      </w:pPr>
    </w:p>
    <w:p w14:paraId="75F8D4B0" w14:textId="711C1DEA" w:rsidR="00D054F4" w:rsidRPr="00BE0715" w:rsidRDefault="00D054F4" w:rsidP="00D054F4">
      <w:pPr>
        <w:pStyle w:val="CommentText"/>
        <w:rPr>
          <w:sz w:val="22"/>
          <w:szCs w:val="22"/>
        </w:rPr>
      </w:pPr>
      <w:r w:rsidRPr="00BE0715">
        <w:rPr>
          <w:sz w:val="22"/>
          <w:szCs w:val="22"/>
        </w:rPr>
        <w:t xml:space="preserve">Ghana’s cocoa forest </w:t>
      </w:r>
      <w:r>
        <w:rPr>
          <w:sz w:val="22"/>
          <w:szCs w:val="22"/>
        </w:rPr>
        <w:t>and</w:t>
      </w:r>
      <w:r w:rsidRPr="00BE0715">
        <w:rPr>
          <w:sz w:val="22"/>
          <w:szCs w:val="22"/>
        </w:rPr>
        <w:t xml:space="preserve"> landscape has one of the highest deforestation rates in Africa, at 3.2% per annum</w:t>
      </w:r>
      <w:r w:rsidR="009753D9">
        <w:rPr>
          <w:sz w:val="22"/>
          <w:szCs w:val="22"/>
        </w:rPr>
        <w:t xml:space="preserve"> according to the Draft Sub-national Forest Refernce Level submitted to the UNFCCC</w:t>
      </w:r>
      <w:r w:rsidRPr="00BE0715">
        <w:rPr>
          <w:sz w:val="22"/>
          <w:szCs w:val="22"/>
        </w:rPr>
        <w:t xml:space="preserve">. Forest degradation and deforestation across this agro-forest mosaic, which covers 5.9 million ha of Ghana’s High Forest Zone (HFZ), is being driven by continued cocoa farm expansion and other types of agriculture, coupled with </w:t>
      </w:r>
      <w:r w:rsidR="009753D9">
        <w:rPr>
          <w:sz w:val="22"/>
          <w:szCs w:val="22"/>
        </w:rPr>
        <w:t xml:space="preserve">illegal logging and </w:t>
      </w:r>
      <w:r w:rsidRPr="00BE0715">
        <w:rPr>
          <w:sz w:val="22"/>
          <w:szCs w:val="22"/>
        </w:rPr>
        <w:t xml:space="preserve">a recent up-surge in illegal mining and illegal logging. </w:t>
      </w:r>
      <w:r w:rsidRPr="00C16574">
        <w:rPr>
          <w:sz w:val="22"/>
          <w:szCs w:val="22"/>
        </w:rPr>
        <w:t>Ghana is now prepar</w:t>
      </w:r>
      <w:r>
        <w:rPr>
          <w:sz w:val="22"/>
          <w:szCs w:val="22"/>
        </w:rPr>
        <w:t>ing</w:t>
      </w:r>
      <w:r w:rsidRPr="00C16574">
        <w:rPr>
          <w:sz w:val="22"/>
          <w:szCs w:val="22"/>
        </w:rPr>
        <w:t xml:space="preserve"> to tackle these issues and significantly reduce deforestation and degradation in this landscape through the Ghana Cocoa Forest REDD+ Programme (GCFRP), which leverages a strong private sector commitment and investment into a climate-smart cocoa production system and standard, and supported by a suite of policy interventions and reforms.</w:t>
      </w:r>
      <w:r>
        <w:rPr>
          <w:sz w:val="22"/>
          <w:szCs w:val="22"/>
        </w:rPr>
        <w:t xml:space="preserve"> </w:t>
      </w:r>
    </w:p>
    <w:p w14:paraId="660449D7" w14:textId="77777777" w:rsidR="00D054F4" w:rsidRPr="00BE0715" w:rsidRDefault="00D054F4" w:rsidP="00D054F4">
      <w:pPr>
        <w:pStyle w:val="CommentText"/>
        <w:rPr>
          <w:sz w:val="22"/>
          <w:szCs w:val="22"/>
        </w:rPr>
      </w:pPr>
      <w:r w:rsidRPr="00BE0715">
        <w:rPr>
          <w:sz w:val="22"/>
          <w:szCs w:val="22"/>
        </w:rPr>
        <w:t xml:space="preserve"> </w:t>
      </w:r>
    </w:p>
    <w:p w14:paraId="4D919825" w14:textId="0CA8D9E1" w:rsidR="00D054F4" w:rsidRDefault="00D054F4" w:rsidP="00D054F4">
      <w:pPr>
        <w:pStyle w:val="CommentText"/>
        <w:rPr>
          <w:sz w:val="22"/>
          <w:szCs w:val="22"/>
        </w:rPr>
      </w:pPr>
      <w:r w:rsidRPr="00BE0715">
        <w:rPr>
          <w:sz w:val="22"/>
          <w:szCs w:val="22"/>
        </w:rPr>
        <w:t>Historically, over the past hundred years, degradation and deforestation in Ghana’s HFZ has been driven by low-yielding, expansive agriculture—predominantly cocoa farming—coupled with the progressive growth of other extractive industries.</w:t>
      </w:r>
      <w:r>
        <w:rPr>
          <w:sz w:val="22"/>
          <w:szCs w:val="22"/>
        </w:rPr>
        <w:t xml:space="preserve"> Between 2010-2017</w:t>
      </w:r>
      <w:r w:rsidRPr="00BE0715">
        <w:rPr>
          <w:sz w:val="22"/>
          <w:szCs w:val="22"/>
        </w:rPr>
        <w:t xml:space="preserve">, the scale of these drivers has increased due to: 1) recent declines in cocoa productivity, causing greater expansion; 2) an increase in illegal logging from a growing domestic demand; and 3) an up-surge in illegal, small-scale mining due to market trends, </w:t>
      </w:r>
      <w:r w:rsidR="009753D9">
        <w:rPr>
          <w:sz w:val="22"/>
          <w:szCs w:val="22"/>
        </w:rPr>
        <w:t xml:space="preserve">high unemployment rates &amp; unrestrained involvement of </w:t>
      </w:r>
      <w:r w:rsidR="009753D9" w:rsidRPr="00BE0715">
        <w:rPr>
          <w:sz w:val="22"/>
          <w:szCs w:val="22"/>
        </w:rPr>
        <w:t xml:space="preserve"> </w:t>
      </w:r>
      <w:r w:rsidRPr="00BE0715">
        <w:rPr>
          <w:sz w:val="22"/>
          <w:szCs w:val="22"/>
        </w:rPr>
        <w:t xml:space="preserve">foreign </w:t>
      </w:r>
      <w:r w:rsidR="009753D9">
        <w:rPr>
          <w:sz w:val="22"/>
          <w:szCs w:val="22"/>
        </w:rPr>
        <w:t xml:space="preserve">nationals </w:t>
      </w:r>
      <w:r w:rsidRPr="00BE0715">
        <w:rPr>
          <w:sz w:val="22"/>
          <w:szCs w:val="22"/>
        </w:rPr>
        <w:t>and landowners giving up unproductive farms for mining.  As a result, the programme’s F</w:t>
      </w:r>
      <w:r w:rsidR="00D946C2">
        <w:rPr>
          <w:sz w:val="22"/>
          <w:szCs w:val="22"/>
        </w:rPr>
        <w:t xml:space="preserve">orest </w:t>
      </w:r>
      <w:r w:rsidRPr="00BE0715">
        <w:rPr>
          <w:sz w:val="22"/>
          <w:szCs w:val="22"/>
        </w:rPr>
        <w:t>R</w:t>
      </w:r>
      <w:r w:rsidR="00D946C2">
        <w:rPr>
          <w:sz w:val="22"/>
          <w:szCs w:val="22"/>
        </w:rPr>
        <w:t xml:space="preserve">eference </w:t>
      </w:r>
      <w:r w:rsidRPr="00BE0715">
        <w:rPr>
          <w:sz w:val="22"/>
          <w:szCs w:val="22"/>
        </w:rPr>
        <w:t>L</w:t>
      </w:r>
      <w:r w:rsidR="00D946C2">
        <w:rPr>
          <w:sz w:val="22"/>
          <w:szCs w:val="22"/>
        </w:rPr>
        <w:t>evel (FRL)</w:t>
      </w:r>
      <w:r w:rsidRPr="00BE0715">
        <w:rPr>
          <w:sz w:val="22"/>
          <w:szCs w:val="22"/>
        </w:rPr>
        <w:t xml:space="preserve"> </w:t>
      </w:r>
      <w:r w:rsidR="009753D9">
        <w:rPr>
          <w:sz w:val="22"/>
          <w:szCs w:val="22"/>
        </w:rPr>
        <w:t xml:space="preserve">measured under the programme </w:t>
      </w:r>
      <w:r w:rsidRPr="00BE0715">
        <w:rPr>
          <w:sz w:val="22"/>
          <w:szCs w:val="22"/>
        </w:rPr>
        <w:t>for the period 2005-2014 shows that the area has</w:t>
      </w:r>
      <w:r w:rsidR="009753D9">
        <w:rPr>
          <w:sz w:val="22"/>
          <w:szCs w:val="22"/>
        </w:rPr>
        <w:t xml:space="preserve"> been</w:t>
      </w:r>
      <w:r w:rsidRPr="00BE0715">
        <w:rPr>
          <w:sz w:val="22"/>
          <w:szCs w:val="22"/>
        </w:rPr>
        <w:t xml:space="preserve"> los</w:t>
      </w:r>
      <w:r w:rsidR="009753D9">
        <w:rPr>
          <w:sz w:val="22"/>
          <w:szCs w:val="22"/>
        </w:rPr>
        <w:t>ing</w:t>
      </w:r>
      <w:r w:rsidRPr="00BE0715">
        <w:rPr>
          <w:sz w:val="22"/>
          <w:szCs w:val="22"/>
        </w:rPr>
        <w:t xml:space="preserve"> an average of 138,624 ha of forest</w:t>
      </w:r>
      <w:r w:rsidR="009753D9">
        <w:rPr>
          <w:sz w:val="22"/>
          <w:szCs w:val="22"/>
        </w:rPr>
        <w:t>s</w:t>
      </w:r>
      <w:r w:rsidRPr="00BE0715">
        <w:rPr>
          <w:sz w:val="22"/>
          <w:szCs w:val="22"/>
        </w:rPr>
        <w:t xml:space="preserve"> each year, and has produced over 45.1 million tCO2e emissions on an annual basis from the combined effects of deforestation and degradation</w:t>
      </w:r>
      <w:r>
        <w:rPr>
          <w:sz w:val="22"/>
          <w:szCs w:val="22"/>
        </w:rPr>
        <w:t xml:space="preserve">. </w:t>
      </w:r>
      <w:r w:rsidRPr="00865BFB">
        <w:rPr>
          <w:sz w:val="22"/>
          <w:szCs w:val="22"/>
        </w:rPr>
        <w:t>Of this, conversion to food crops, from which cocoa establishment typically follows, accounted for two-thirds (66%) of forest loss.  Over a quarter (27%) of agriculture conversion resulted from cocoa expansion, making it the single most important commodity driver of deforestation in the programme area</w:t>
      </w:r>
      <w:r>
        <w:rPr>
          <w:rStyle w:val="FootnoteReference"/>
          <w:sz w:val="22"/>
          <w:szCs w:val="22"/>
        </w:rPr>
        <w:footnoteReference w:id="11"/>
      </w:r>
      <w:r w:rsidRPr="00865BFB">
        <w:rPr>
          <w:sz w:val="22"/>
          <w:szCs w:val="22"/>
        </w:rPr>
        <w:t>.</w:t>
      </w:r>
      <w:r>
        <w:rPr>
          <w:sz w:val="22"/>
          <w:szCs w:val="22"/>
        </w:rPr>
        <w:t xml:space="preserve"> </w:t>
      </w:r>
    </w:p>
    <w:p w14:paraId="65869184" w14:textId="77777777" w:rsidR="00D054F4" w:rsidRDefault="00D054F4" w:rsidP="00D054F4">
      <w:pPr>
        <w:pStyle w:val="CommentText"/>
        <w:rPr>
          <w:sz w:val="22"/>
          <w:szCs w:val="22"/>
        </w:rPr>
      </w:pPr>
    </w:p>
    <w:p w14:paraId="76895921" w14:textId="1A823A53" w:rsidR="00D054F4" w:rsidRDefault="00D054F4" w:rsidP="00D054F4">
      <w:pPr>
        <w:pStyle w:val="CommentText"/>
        <w:rPr>
          <w:sz w:val="22"/>
          <w:szCs w:val="22"/>
        </w:rPr>
      </w:pPr>
      <w:r w:rsidRPr="00865BFB">
        <w:rPr>
          <w:sz w:val="22"/>
          <w:szCs w:val="22"/>
        </w:rPr>
        <w:t>The GCFRP is a</w:t>
      </w:r>
      <w:r>
        <w:rPr>
          <w:sz w:val="22"/>
          <w:szCs w:val="22"/>
        </w:rPr>
        <w:t>n</w:t>
      </w:r>
      <w:r w:rsidRPr="00865BFB">
        <w:rPr>
          <w:sz w:val="22"/>
          <w:szCs w:val="22"/>
        </w:rPr>
        <w:t xml:space="preserve"> initiative that </w:t>
      </w:r>
      <w:r w:rsidR="00A360C5">
        <w:rPr>
          <w:sz w:val="22"/>
          <w:szCs w:val="22"/>
        </w:rPr>
        <w:t xml:space="preserve">is </w:t>
      </w:r>
      <w:r w:rsidRPr="00865BFB">
        <w:rPr>
          <w:sz w:val="22"/>
          <w:szCs w:val="22"/>
        </w:rPr>
        <w:t xml:space="preserve">jointly coordinated by the National REDD+ Secretariat (NRS) </w:t>
      </w:r>
      <w:r w:rsidR="00A360C5">
        <w:rPr>
          <w:sz w:val="22"/>
          <w:szCs w:val="22"/>
        </w:rPr>
        <w:t>of</w:t>
      </w:r>
      <w:r w:rsidRPr="00865BFB">
        <w:rPr>
          <w:sz w:val="22"/>
          <w:szCs w:val="22"/>
        </w:rPr>
        <w:t xml:space="preserve"> the Forestry Commission (FC) and the Ghana Cocoa Board, in partnership with a broad set of private sector, public sector, civil society, traditional authority, and </w:t>
      </w:r>
      <w:r w:rsidR="00A360C5">
        <w:rPr>
          <w:sz w:val="22"/>
          <w:szCs w:val="22"/>
        </w:rPr>
        <w:t xml:space="preserve">local </w:t>
      </w:r>
      <w:r w:rsidRPr="00865BFB">
        <w:rPr>
          <w:sz w:val="22"/>
          <w:szCs w:val="22"/>
        </w:rPr>
        <w:t>communit</w:t>
      </w:r>
      <w:r w:rsidR="009753D9">
        <w:rPr>
          <w:sz w:val="22"/>
          <w:szCs w:val="22"/>
        </w:rPr>
        <w:t>ies</w:t>
      </w:r>
      <w:r w:rsidRPr="00865BFB">
        <w:rPr>
          <w:sz w:val="22"/>
          <w:szCs w:val="22"/>
        </w:rPr>
        <w:t xml:space="preserve">.  The GCFRP is constructed according to </w:t>
      </w:r>
      <w:r w:rsidR="009753D9">
        <w:rPr>
          <w:sz w:val="22"/>
          <w:szCs w:val="22"/>
        </w:rPr>
        <w:t>five (</w:t>
      </w:r>
      <w:r w:rsidRPr="00865BFB">
        <w:rPr>
          <w:sz w:val="22"/>
          <w:szCs w:val="22"/>
        </w:rPr>
        <w:t>5</w:t>
      </w:r>
      <w:r w:rsidR="009753D9">
        <w:rPr>
          <w:sz w:val="22"/>
          <w:szCs w:val="22"/>
        </w:rPr>
        <w:t>)</w:t>
      </w:r>
      <w:r w:rsidRPr="00865BFB">
        <w:rPr>
          <w:sz w:val="22"/>
          <w:szCs w:val="22"/>
        </w:rPr>
        <w:t xml:space="preserve"> key pillars: </w:t>
      </w:r>
    </w:p>
    <w:p w14:paraId="0E2D4193" w14:textId="77777777" w:rsidR="00D054F4" w:rsidRDefault="00D054F4" w:rsidP="00D054F4">
      <w:pPr>
        <w:pStyle w:val="CommentText"/>
        <w:rPr>
          <w:sz w:val="22"/>
          <w:szCs w:val="22"/>
        </w:rPr>
      </w:pPr>
    </w:p>
    <w:p w14:paraId="79395E2B" w14:textId="77777777" w:rsidR="00D054F4" w:rsidRDefault="00D054F4" w:rsidP="00D054F4">
      <w:pPr>
        <w:pStyle w:val="CommentText"/>
        <w:numPr>
          <w:ilvl w:val="1"/>
          <w:numId w:val="1"/>
        </w:numPr>
        <w:rPr>
          <w:sz w:val="22"/>
          <w:szCs w:val="22"/>
        </w:rPr>
      </w:pPr>
      <w:r w:rsidRPr="00865BFB">
        <w:rPr>
          <w:sz w:val="22"/>
          <w:szCs w:val="22"/>
        </w:rPr>
        <w:t xml:space="preserve">Institutional Coordination and MRV; </w:t>
      </w:r>
    </w:p>
    <w:p w14:paraId="28DE998C" w14:textId="498AE1AE" w:rsidR="00D054F4" w:rsidRDefault="00D054F4" w:rsidP="00D054F4">
      <w:pPr>
        <w:pStyle w:val="CommentText"/>
        <w:numPr>
          <w:ilvl w:val="1"/>
          <w:numId w:val="1"/>
        </w:numPr>
        <w:rPr>
          <w:sz w:val="22"/>
          <w:szCs w:val="22"/>
        </w:rPr>
      </w:pPr>
      <w:r w:rsidRPr="00865BFB">
        <w:rPr>
          <w:sz w:val="22"/>
          <w:szCs w:val="22"/>
        </w:rPr>
        <w:t xml:space="preserve">Landscape Planning within </w:t>
      </w:r>
      <w:r w:rsidR="00D946C2">
        <w:rPr>
          <w:sz w:val="22"/>
          <w:szCs w:val="22"/>
        </w:rPr>
        <w:t>Hotspot Intervention Areas (</w:t>
      </w:r>
      <w:r w:rsidRPr="00865BFB">
        <w:rPr>
          <w:sz w:val="22"/>
          <w:szCs w:val="22"/>
        </w:rPr>
        <w:t>HIA</w:t>
      </w:r>
      <w:r w:rsidR="00D946C2">
        <w:rPr>
          <w:sz w:val="22"/>
          <w:szCs w:val="22"/>
        </w:rPr>
        <w:t>)</w:t>
      </w:r>
      <w:r w:rsidRPr="00865BFB">
        <w:rPr>
          <w:sz w:val="22"/>
          <w:szCs w:val="22"/>
        </w:rPr>
        <w:t xml:space="preserve">; </w:t>
      </w:r>
    </w:p>
    <w:p w14:paraId="7EB5687F" w14:textId="77777777" w:rsidR="00D054F4" w:rsidRDefault="00D054F4" w:rsidP="00D054F4">
      <w:pPr>
        <w:pStyle w:val="CommentText"/>
        <w:numPr>
          <w:ilvl w:val="1"/>
          <w:numId w:val="1"/>
        </w:numPr>
        <w:rPr>
          <w:sz w:val="22"/>
          <w:szCs w:val="22"/>
        </w:rPr>
      </w:pPr>
      <w:r w:rsidRPr="00865BFB">
        <w:rPr>
          <w:sz w:val="22"/>
          <w:szCs w:val="22"/>
        </w:rPr>
        <w:t xml:space="preserve">Implementing Climate-Smart Cocoa to Increase Yields; </w:t>
      </w:r>
    </w:p>
    <w:p w14:paraId="1076CBC6" w14:textId="77777777" w:rsidR="00D054F4" w:rsidRDefault="00D054F4" w:rsidP="00D054F4">
      <w:pPr>
        <w:pStyle w:val="CommentText"/>
        <w:numPr>
          <w:ilvl w:val="1"/>
          <w:numId w:val="1"/>
        </w:numPr>
        <w:rPr>
          <w:sz w:val="22"/>
          <w:szCs w:val="22"/>
        </w:rPr>
      </w:pPr>
      <w:r w:rsidRPr="00865BFB">
        <w:rPr>
          <w:sz w:val="22"/>
          <w:szCs w:val="22"/>
        </w:rPr>
        <w:t xml:space="preserve">Risk </w:t>
      </w:r>
      <w:r w:rsidRPr="00C16574">
        <w:rPr>
          <w:sz w:val="22"/>
          <w:szCs w:val="22"/>
        </w:rPr>
        <w:t xml:space="preserve">Management and Finance; and </w:t>
      </w:r>
    </w:p>
    <w:p w14:paraId="38741351" w14:textId="77777777" w:rsidR="00D054F4" w:rsidRDefault="00D054F4" w:rsidP="00D054F4">
      <w:pPr>
        <w:pStyle w:val="CommentText"/>
        <w:numPr>
          <w:ilvl w:val="1"/>
          <w:numId w:val="1"/>
        </w:numPr>
        <w:rPr>
          <w:sz w:val="22"/>
          <w:szCs w:val="22"/>
        </w:rPr>
      </w:pPr>
      <w:r w:rsidRPr="00C16574">
        <w:rPr>
          <w:sz w:val="22"/>
          <w:szCs w:val="22"/>
        </w:rPr>
        <w:t xml:space="preserve">Legislative and Policy Reforms. </w:t>
      </w:r>
    </w:p>
    <w:p w14:paraId="5815E098" w14:textId="77777777" w:rsidR="00D054F4" w:rsidRDefault="00D054F4" w:rsidP="00D054F4">
      <w:pPr>
        <w:pStyle w:val="CommentText"/>
        <w:rPr>
          <w:sz w:val="22"/>
          <w:szCs w:val="22"/>
        </w:rPr>
      </w:pPr>
    </w:p>
    <w:p w14:paraId="5A55FCB6" w14:textId="11044EA8" w:rsidR="00D054F4" w:rsidRDefault="00D054F4" w:rsidP="00D054F4">
      <w:pPr>
        <w:pStyle w:val="CommentText"/>
        <w:rPr>
          <w:sz w:val="22"/>
          <w:szCs w:val="22"/>
        </w:rPr>
      </w:pPr>
      <w:r w:rsidRPr="00C16574">
        <w:rPr>
          <w:sz w:val="22"/>
          <w:szCs w:val="22"/>
        </w:rPr>
        <w:t>The programme receive</w:t>
      </w:r>
      <w:r w:rsidR="007B2CBF">
        <w:rPr>
          <w:sz w:val="22"/>
          <w:szCs w:val="22"/>
        </w:rPr>
        <w:t>s</w:t>
      </w:r>
      <w:r w:rsidRPr="00C16574">
        <w:rPr>
          <w:sz w:val="22"/>
          <w:szCs w:val="22"/>
        </w:rPr>
        <w:t xml:space="preserve"> oversight </w:t>
      </w:r>
      <w:r w:rsidR="009753D9">
        <w:rPr>
          <w:sz w:val="22"/>
          <w:szCs w:val="22"/>
        </w:rPr>
        <w:t xml:space="preserve">coordination </w:t>
      </w:r>
      <w:r w:rsidRPr="00C16574">
        <w:rPr>
          <w:sz w:val="22"/>
          <w:szCs w:val="22"/>
        </w:rPr>
        <w:t xml:space="preserve">from a Joint Coordination Committee (JCC) and day-to-day operations will be the responsibility of a Programme Management Unit (PMU) within the NRS. </w:t>
      </w:r>
      <w:r w:rsidRPr="00C16574">
        <w:rPr>
          <w:sz w:val="22"/>
          <w:szCs w:val="22"/>
        </w:rPr>
        <w:lastRenderedPageBreak/>
        <w:t xml:space="preserve">The programme will be implemented in six Hotspot Intervention Areas (HIAs), covering up to 2.5 million ha, to serve as priority areas for immediate and concentrated interventions at the farm to landscape level.  Each HIA will be governed by a local governance board of land owners, land users, local authority entities and community leaders (including minority groups).  The HIA will engage with a formal consortium of private sector cocoa companies, NGOs, and government partners who will work together to bring resources to implement activities on the ground.    </w:t>
      </w:r>
    </w:p>
    <w:p w14:paraId="2FCCB5A0" w14:textId="77777777" w:rsidR="00D054F4" w:rsidRDefault="00D054F4" w:rsidP="00D054F4">
      <w:pPr>
        <w:pStyle w:val="CommentText"/>
        <w:rPr>
          <w:sz w:val="22"/>
          <w:szCs w:val="22"/>
        </w:rPr>
      </w:pPr>
    </w:p>
    <w:p w14:paraId="5B6076FE" w14:textId="026BB38C" w:rsidR="00D054F4" w:rsidRPr="00C16574" w:rsidRDefault="00D054F4" w:rsidP="00D054F4">
      <w:pPr>
        <w:pStyle w:val="CommentText"/>
        <w:rPr>
          <w:sz w:val="22"/>
          <w:szCs w:val="22"/>
        </w:rPr>
      </w:pPr>
      <w:r w:rsidRPr="00C16574">
        <w:rPr>
          <w:sz w:val="22"/>
          <w:szCs w:val="22"/>
        </w:rPr>
        <w:t xml:space="preserve">The GCFRP is a US$236,727,250 million dollar programme that </w:t>
      </w:r>
      <w:r w:rsidR="007B2CBF">
        <w:rPr>
          <w:sz w:val="22"/>
          <w:szCs w:val="22"/>
        </w:rPr>
        <w:t>c</w:t>
      </w:r>
      <w:r w:rsidRPr="00C16574">
        <w:rPr>
          <w:sz w:val="22"/>
          <w:szCs w:val="22"/>
        </w:rPr>
        <w:t xml:space="preserve">over the first </w:t>
      </w:r>
      <w:r w:rsidR="007B2CBF">
        <w:rPr>
          <w:sz w:val="22"/>
          <w:szCs w:val="22"/>
        </w:rPr>
        <w:t>seven (7)</w:t>
      </w:r>
      <w:r w:rsidR="007B2CBF" w:rsidRPr="00C16574">
        <w:rPr>
          <w:sz w:val="22"/>
          <w:szCs w:val="22"/>
        </w:rPr>
        <w:t xml:space="preserve"> </w:t>
      </w:r>
      <w:r w:rsidRPr="00C16574">
        <w:rPr>
          <w:sz w:val="22"/>
          <w:szCs w:val="22"/>
        </w:rPr>
        <w:t>years (201</w:t>
      </w:r>
      <w:r w:rsidR="007B2CBF">
        <w:rPr>
          <w:sz w:val="22"/>
          <w:szCs w:val="22"/>
        </w:rPr>
        <w:t>9</w:t>
      </w:r>
      <w:r w:rsidRPr="00C16574">
        <w:rPr>
          <w:sz w:val="22"/>
          <w:szCs w:val="22"/>
        </w:rPr>
        <w:t>-202</w:t>
      </w:r>
      <w:r w:rsidR="007B2CBF">
        <w:rPr>
          <w:sz w:val="22"/>
          <w:szCs w:val="22"/>
        </w:rPr>
        <w:t>4</w:t>
      </w:r>
      <w:r w:rsidRPr="00C16574">
        <w:rPr>
          <w:sz w:val="22"/>
          <w:szCs w:val="22"/>
        </w:rPr>
        <w:t xml:space="preserve">) aims to leverage over $121 million dollars of private sector cocoa investment and over $53 million dollars in GoG support, as well modest funding from existing and yet-to-be-sought grants. A conservative 50% yield increase on cocoa farms to 600 kg/ha (even greater increases are possible and have been demonstrated) will realize significant benefits to farmers and to the government.  </w:t>
      </w:r>
    </w:p>
    <w:p w14:paraId="1EC1CD23" w14:textId="77777777" w:rsidR="00D054F4" w:rsidRPr="00865BFB" w:rsidRDefault="00D054F4" w:rsidP="00D054F4">
      <w:pPr>
        <w:pStyle w:val="CommentText"/>
        <w:rPr>
          <w:sz w:val="22"/>
          <w:szCs w:val="22"/>
        </w:rPr>
      </w:pPr>
      <w:r w:rsidRPr="00865BFB">
        <w:rPr>
          <w:sz w:val="22"/>
          <w:szCs w:val="22"/>
        </w:rPr>
        <w:t xml:space="preserve"> </w:t>
      </w:r>
    </w:p>
    <w:p w14:paraId="0BE7698C" w14:textId="01D32FC4" w:rsidR="00D054F4" w:rsidRPr="00865BFB" w:rsidRDefault="00D054F4" w:rsidP="00D054F4">
      <w:pPr>
        <w:pStyle w:val="CommentText"/>
        <w:rPr>
          <w:sz w:val="22"/>
          <w:szCs w:val="22"/>
        </w:rPr>
      </w:pPr>
      <w:r w:rsidRPr="00865BFB">
        <w:rPr>
          <w:sz w:val="22"/>
          <w:szCs w:val="22"/>
        </w:rPr>
        <w:t xml:space="preserve">As a 20 year programme, the GCFRP estimates that it could produce a total of 294,395,567 million tCO2e emission reductions (following the removal of 102,535 million tCO2e placed into risk and uncertainty buffers), representing a 44% overall reduction against the reference level.  Under a prospective contract with the Carbon Fund to cover the first </w:t>
      </w:r>
      <w:r w:rsidR="007B2CBF">
        <w:rPr>
          <w:sz w:val="22"/>
          <w:szCs w:val="22"/>
        </w:rPr>
        <w:t>7</w:t>
      </w:r>
      <w:r w:rsidRPr="00865BFB">
        <w:rPr>
          <w:sz w:val="22"/>
          <w:szCs w:val="22"/>
        </w:rPr>
        <w:t xml:space="preserve"> years of implementation (201</w:t>
      </w:r>
      <w:r w:rsidR="007B2CBF">
        <w:rPr>
          <w:sz w:val="22"/>
          <w:szCs w:val="22"/>
        </w:rPr>
        <w:t>9</w:t>
      </w:r>
      <w:r w:rsidRPr="00865BFB">
        <w:rPr>
          <w:sz w:val="22"/>
          <w:szCs w:val="22"/>
        </w:rPr>
        <w:t>-202</w:t>
      </w:r>
      <w:r w:rsidR="007B2CBF">
        <w:rPr>
          <w:sz w:val="22"/>
          <w:szCs w:val="22"/>
        </w:rPr>
        <w:t>4</w:t>
      </w:r>
      <w:r w:rsidRPr="00865BFB">
        <w:rPr>
          <w:sz w:val="22"/>
          <w:szCs w:val="22"/>
        </w:rPr>
        <w:t xml:space="preserve">), Ghana estimates that it could generate significant reductions in deforestation and degradation against its reference level and produce just over 10 million tCO2e emission reductions to be transacted under the ERPA.  This is an ambitious but realistic goal given that Ghana will need to reduce its emissions by 14% to reach the reference level.  A historical analysis (2005-2014) of deforestation, degradation and carbon stock enhancement across the accounting area was used to develop the programme’s FRL based on average annual emissions and removals. </w:t>
      </w:r>
    </w:p>
    <w:p w14:paraId="47C8CB51" w14:textId="77777777" w:rsidR="00D054F4" w:rsidRPr="00865BFB" w:rsidRDefault="00D054F4" w:rsidP="00D054F4">
      <w:pPr>
        <w:pStyle w:val="CommentText"/>
        <w:rPr>
          <w:sz w:val="22"/>
          <w:szCs w:val="22"/>
        </w:rPr>
      </w:pPr>
      <w:r w:rsidRPr="00865BFB">
        <w:rPr>
          <w:sz w:val="22"/>
          <w:szCs w:val="22"/>
        </w:rPr>
        <w:t xml:space="preserve"> </w:t>
      </w:r>
    </w:p>
    <w:p w14:paraId="7D2CC9C0" w14:textId="1DDC2EAC" w:rsidR="00D054F4" w:rsidRPr="00865BFB" w:rsidRDefault="00D054F4" w:rsidP="00D054F4">
      <w:pPr>
        <w:pStyle w:val="CommentText"/>
        <w:rPr>
          <w:sz w:val="22"/>
          <w:szCs w:val="22"/>
        </w:rPr>
      </w:pPr>
      <w:r w:rsidRPr="00865BFB">
        <w:rPr>
          <w:sz w:val="22"/>
          <w:szCs w:val="22"/>
        </w:rPr>
        <w:t>In addition to having a plan for financing and implementing the programme, Ghana also has very strong private sector commitment and investment, as well as unprec</w:t>
      </w:r>
      <w:r>
        <w:rPr>
          <w:sz w:val="22"/>
          <w:szCs w:val="22"/>
        </w:rPr>
        <w:t>e</w:t>
      </w:r>
      <w:r w:rsidRPr="00865BFB">
        <w:rPr>
          <w:sz w:val="22"/>
          <w:szCs w:val="22"/>
        </w:rPr>
        <w:t xml:space="preserve">dented government crosssector, civil society and community-based support to the GCFRP. While the NRS and Cocoa Board are co-proponents of the programme, participating ministries and agencies include the </w:t>
      </w:r>
      <w:r w:rsidR="006C78C0">
        <w:rPr>
          <w:sz w:val="22"/>
          <w:szCs w:val="22"/>
        </w:rPr>
        <w:t>Ministry of Lands and Natural Resources (</w:t>
      </w:r>
      <w:r w:rsidRPr="00865BFB">
        <w:rPr>
          <w:sz w:val="22"/>
          <w:szCs w:val="22"/>
        </w:rPr>
        <w:t>MLNR</w:t>
      </w:r>
      <w:r w:rsidR="006C78C0">
        <w:rPr>
          <w:sz w:val="22"/>
          <w:szCs w:val="22"/>
        </w:rPr>
        <w:t>)</w:t>
      </w:r>
      <w:r w:rsidRPr="00865BFB">
        <w:rPr>
          <w:sz w:val="22"/>
          <w:szCs w:val="22"/>
        </w:rPr>
        <w:t xml:space="preserve">, </w:t>
      </w:r>
      <w:r w:rsidR="006C78C0">
        <w:rPr>
          <w:sz w:val="22"/>
          <w:szCs w:val="22"/>
        </w:rPr>
        <w:t>Ministry of Environment, Science, Technology and Innovation (</w:t>
      </w:r>
      <w:r w:rsidRPr="00865BFB">
        <w:rPr>
          <w:sz w:val="22"/>
          <w:szCs w:val="22"/>
        </w:rPr>
        <w:t>MESTI</w:t>
      </w:r>
      <w:r w:rsidR="006C78C0">
        <w:rPr>
          <w:sz w:val="22"/>
          <w:szCs w:val="22"/>
        </w:rPr>
        <w:t>)</w:t>
      </w:r>
      <w:r w:rsidRPr="00865BFB">
        <w:rPr>
          <w:sz w:val="22"/>
          <w:szCs w:val="22"/>
        </w:rPr>
        <w:t>,</w:t>
      </w:r>
      <w:r w:rsidR="006C78C0">
        <w:rPr>
          <w:sz w:val="22"/>
          <w:szCs w:val="22"/>
        </w:rPr>
        <w:t xml:space="preserve"> Environmental Protection Agency (</w:t>
      </w:r>
      <w:r w:rsidRPr="00865BFB">
        <w:rPr>
          <w:sz w:val="22"/>
          <w:szCs w:val="22"/>
        </w:rPr>
        <w:t>EPA</w:t>
      </w:r>
      <w:r w:rsidR="006C78C0">
        <w:rPr>
          <w:sz w:val="22"/>
          <w:szCs w:val="22"/>
        </w:rPr>
        <w:t>)</w:t>
      </w:r>
      <w:r w:rsidRPr="00865BFB">
        <w:rPr>
          <w:sz w:val="22"/>
          <w:szCs w:val="22"/>
        </w:rPr>
        <w:t xml:space="preserve">, </w:t>
      </w:r>
      <w:r w:rsidR="006C78C0">
        <w:rPr>
          <w:sz w:val="22"/>
          <w:szCs w:val="22"/>
        </w:rPr>
        <w:t>Ministry of Food and Agriculture (</w:t>
      </w:r>
      <w:r w:rsidRPr="00865BFB">
        <w:rPr>
          <w:sz w:val="22"/>
          <w:szCs w:val="22"/>
        </w:rPr>
        <w:t>MoFA</w:t>
      </w:r>
      <w:r w:rsidR="006C78C0">
        <w:rPr>
          <w:sz w:val="22"/>
          <w:szCs w:val="22"/>
        </w:rPr>
        <w:t>)</w:t>
      </w:r>
      <w:r w:rsidRPr="00865BFB">
        <w:rPr>
          <w:sz w:val="22"/>
          <w:szCs w:val="22"/>
        </w:rPr>
        <w:t xml:space="preserve">, and </w:t>
      </w:r>
      <w:r w:rsidR="006C78C0">
        <w:rPr>
          <w:sz w:val="22"/>
          <w:szCs w:val="22"/>
        </w:rPr>
        <w:t>Minerals Commission (</w:t>
      </w:r>
      <w:r w:rsidRPr="00865BFB">
        <w:rPr>
          <w:sz w:val="22"/>
          <w:szCs w:val="22"/>
        </w:rPr>
        <w:t>MC</w:t>
      </w:r>
      <w:r w:rsidR="006C78C0">
        <w:rPr>
          <w:sz w:val="22"/>
          <w:szCs w:val="22"/>
        </w:rPr>
        <w:t>)</w:t>
      </w:r>
      <w:r w:rsidRPr="00865BFB">
        <w:rPr>
          <w:sz w:val="22"/>
          <w:szCs w:val="22"/>
        </w:rPr>
        <w:t xml:space="preserve">. There is also tremendous private sector commitment from some of the most important cocoa </w:t>
      </w:r>
      <w:r w:rsidR="00D70456">
        <w:rPr>
          <w:sz w:val="22"/>
          <w:szCs w:val="22"/>
        </w:rPr>
        <w:t xml:space="preserve">buying </w:t>
      </w:r>
      <w:r w:rsidRPr="00865BFB">
        <w:rPr>
          <w:sz w:val="22"/>
          <w:szCs w:val="22"/>
        </w:rPr>
        <w:t xml:space="preserve">and chocolate </w:t>
      </w:r>
      <w:r w:rsidR="00D70456">
        <w:rPr>
          <w:sz w:val="22"/>
          <w:szCs w:val="22"/>
        </w:rPr>
        <w:t xml:space="preserve">producing </w:t>
      </w:r>
      <w:r w:rsidRPr="00865BFB">
        <w:rPr>
          <w:sz w:val="22"/>
          <w:szCs w:val="22"/>
        </w:rPr>
        <w:t xml:space="preserve">companies. In addition, the World Cocoa Foundation and its leading member companies recently committed to reduce deforestation in the cocoa supply chain in Ghana and Cote d’Ivoire.  Leading international and national NGOs partners include Solidaridad, SNV, Rainforest Alliance, IITA, NCRC, IUCN-Ghana, and Arocha-Ghana.  Perhaps most importantly, there is strong support and willingness to engage from traditional leaders, communities, and cocoa farmers across the programme area.  From a practical standpoint, developing a results-based programme that engages multiple sectors, institutions and organizations is a significant feat in and of itself for Ghana, and is further evidence that the programme truly does have the high level political commitment and buy-in that is needed.  </w:t>
      </w:r>
    </w:p>
    <w:p w14:paraId="3A44B719" w14:textId="77777777" w:rsidR="00D054F4" w:rsidRPr="00865BFB" w:rsidRDefault="00D054F4" w:rsidP="00D054F4">
      <w:pPr>
        <w:pStyle w:val="CommentText"/>
        <w:rPr>
          <w:sz w:val="22"/>
          <w:szCs w:val="22"/>
        </w:rPr>
      </w:pPr>
      <w:r w:rsidRPr="00865BFB">
        <w:rPr>
          <w:sz w:val="22"/>
          <w:szCs w:val="22"/>
        </w:rPr>
        <w:t xml:space="preserve"> </w:t>
      </w:r>
    </w:p>
    <w:p w14:paraId="793106BB" w14:textId="77777777" w:rsidR="00D054F4" w:rsidRPr="00865BFB" w:rsidRDefault="00D054F4" w:rsidP="00D054F4">
      <w:pPr>
        <w:pStyle w:val="CommentText"/>
        <w:rPr>
          <w:sz w:val="22"/>
          <w:szCs w:val="22"/>
        </w:rPr>
      </w:pPr>
      <w:r w:rsidRPr="00865BFB">
        <w:rPr>
          <w:sz w:val="22"/>
          <w:szCs w:val="22"/>
        </w:rPr>
        <w:t xml:space="preserve">Tremendous capacity and understanding have been built, and operational systems developed through the country’s REDD+ readiness process.  This is reflected by the fact that Ghana’s R-Package was accepted by the FCPF in September 2016, and the country received a positive independent selfassessment of its REDD+ Readiness to accompany the submission.  </w:t>
      </w:r>
    </w:p>
    <w:p w14:paraId="31E24935" w14:textId="1D40B030" w:rsidR="00D054F4" w:rsidRPr="00865BFB" w:rsidRDefault="00D054F4" w:rsidP="00D054F4">
      <w:pPr>
        <w:pStyle w:val="CommentText"/>
        <w:rPr>
          <w:sz w:val="22"/>
          <w:szCs w:val="22"/>
        </w:rPr>
      </w:pPr>
    </w:p>
    <w:p w14:paraId="19E81675" w14:textId="7B893B8E" w:rsidR="002025A3" w:rsidRDefault="00D054F4">
      <w:pPr>
        <w:autoSpaceDE w:val="0"/>
        <w:autoSpaceDN w:val="0"/>
        <w:adjustRightInd w:val="0"/>
        <w:rPr>
          <w:rFonts w:eastAsia="Calibri" w:cs="HelveticaNeueLTCom-Lt"/>
        </w:rPr>
      </w:pPr>
      <w:r w:rsidRPr="00865BFB">
        <w:rPr>
          <w:szCs w:val="22"/>
        </w:rPr>
        <w:t xml:space="preserve">Ahead of the possible signing of an ERPA, implementation of the GCFRP and its focus on transitioning to a climate-smart cocoa production landscape will begin in three Hotspot Intervention Areas with support from the FIP, Touton and SNV, and NCRC and partners taking the lead in different HIAs.  </w:t>
      </w:r>
      <w:r w:rsidR="00F21F8F">
        <w:rPr>
          <w:szCs w:val="22"/>
        </w:rPr>
        <w:t xml:space="preserve">Three Memorandum of Understandings (MoUs) have been signed between Government and three Private sector cocoa entities (Touton, Mondelez and Nyonkopa; a subsidiary of Barry Callebaut). These MoUs </w:t>
      </w:r>
      <w:r w:rsidR="00190515">
        <w:rPr>
          <w:szCs w:val="22"/>
        </w:rPr>
        <w:lastRenderedPageBreak/>
        <w:t xml:space="preserve">outline the intentions of the private sector entities to adopt CSC practices outlined in the GCFRP document to achieve improved farm yields and emission reductions among others. </w:t>
      </w:r>
      <w:r w:rsidR="007D6BEA">
        <w:rPr>
          <w:szCs w:val="22"/>
        </w:rPr>
        <w:t>The o</w:t>
      </w:r>
      <w:r w:rsidR="00190515">
        <w:rPr>
          <w:szCs w:val="22"/>
        </w:rPr>
        <w:t xml:space="preserve">ther HIAs within the GCFRP will subsequently be adopted by key partners. </w:t>
      </w:r>
      <w:r w:rsidRPr="00865BFB">
        <w:rPr>
          <w:szCs w:val="22"/>
        </w:rPr>
        <w:t>The logic and strength of the GCFRP is based on the core concept that cocoa cannot be sustainably produced, and deforestation and degradation drivers cannot be reduced significantly at a project or singular institutional level, which has been the practice to date.  Rather, these issues and challenges necessitate a large-scale, integrated approach in order to foster the massive transformational changes in farming practices and land use decision making required to reduce deforestation and degradation, and to drive the growth of forests and trees in the landscape.  Therefore, the move to implement the GCFRP is an effort to use a coordinated landscape approach that targets all stakeholders as a strategy to change the BAU and reduce emissions from the landscape, while producing the world’s first ever climate-smart cocoa bean</w:t>
      </w:r>
      <w:r w:rsidR="00C401FB">
        <w:rPr>
          <w:szCs w:val="22"/>
        </w:rPr>
        <w:t>.</w:t>
      </w:r>
    </w:p>
    <w:p w14:paraId="3D8B3397" w14:textId="68035E93" w:rsidR="007A080B" w:rsidRDefault="007A080B">
      <w:pPr>
        <w:autoSpaceDE w:val="0"/>
        <w:autoSpaceDN w:val="0"/>
        <w:adjustRightInd w:val="0"/>
        <w:rPr>
          <w:rFonts w:eastAsia="Calibri" w:cs="HelveticaNeueLTCom-Lt"/>
        </w:rPr>
      </w:pPr>
    </w:p>
    <w:p w14:paraId="1D207BE4" w14:textId="276A1E1D" w:rsidR="00437643" w:rsidRPr="00437643" w:rsidRDefault="00437643" w:rsidP="00437643">
      <w:r w:rsidRPr="00437643">
        <w:t xml:space="preserve"> </w:t>
      </w:r>
    </w:p>
    <w:p w14:paraId="28582DA5" w14:textId="4EFBD930" w:rsidR="00437643" w:rsidRDefault="00437643" w:rsidP="009A3D42">
      <w:pPr>
        <w:jc w:val="left"/>
      </w:pPr>
    </w:p>
    <w:p w14:paraId="1C196F42" w14:textId="77777777" w:rsidR="002E6701" w:rsidRDefault="002E6701" w:rsidP="00630EA9"/>
    <w:p w14:paraId="04FB2F7A" w14:textId="77777777" w:rsidR="002025A3" w:rsidRDefault="002025A3" w:rsidP="002025A3">
      <w:pPr>
        <w:rPr>
          <w:rFonts w:asciiTheme="majorHAnsi" w:hAnsiTheme="majorHAnsi"/>
          <w:color w:val="2F5496" w:themeColor="accent1" w:themeShade="BF"/>
          <w:sz w:val="32"/>
          <w:szCs w:val="32"/>
        </w:rPr>
        <w:sectPr w:rsidR="002025A3" w:rsidSect="00847229">
          <w:pgSz w:w="11900" w:h="16840"/>
          <w:pgMar w:top="1440" w:right="1440" w:bottom="1440" w:left="1440" w:header="720" w:footer="720" w:gutter="0"/>
          <w:cols w:space="720"/>
          <w:docGrid w:linePitch="360"/>
        </w:sectPr>
      </w:pPr>
      <w:bookmarkStart w:id="6" w:name="_Hlk521683077"/>
    </w:p>
    <w:p w14:paraId="7C15C824" w14:textId="44B81BD3" w:rsidR="00865BFB" w:rsidRDefault="00F46737" w:rsidP="00DD52B4">
      <w:pPr>
        <w:pStyle w:val="Heading1"/>
      </w:pPr>
      <w:bookmarkStart w:id="7" w:name="_Toc523385922"/>
      <w:r w:rsidRPr="002B279A">
        <w:lastRenderedPageBreak/>
        <w:t xml:space="preserve">Part II: </w:t>
      </w:r>
      <w:r w:rsidR="00630EA9" w:rsidRPr="00065892">
        <w:t xml:space="preserve">National circumstances and REDD+ </w:t>
      </w:r>
      <w:r w:rsidR="002025A3">
        <w:t xml:space="preserve">Safeguards </w:t>
      </w:r>
      <w:r w:rsidR="00630EA9" w:rsidRPr="002B279A">
        <w:t>Approach</w:t>
      </w:r>
      <w:bookmarkEnd w:id="6"/>
      <w:bookmarkEnd w:id="7"/>
    </w:p>
    <w:p w14:paraId="29620671" w14:textId="309DEB9D" w:rsidR="00AE07AE" w:rsidRDefault="00AE07AE" w:rsidP="00AE07AE">
      <w:pPr>
        <w:pStyle w:val="CommentText"/>
        <w:rPr>
          <w:sz w:val="22"/>
          <w:szCs w:val="22"/>
        </w:rPr>
      </w:pPr>
    </w:p>
    <w:p w14:paraId="28936DBE" w14:textId="1FCB1A52" w:rsidR="00AE07AE" w:rsidRPr="002B279A" w:rsidRDefault="00AE07AE" w:rsidP="00AE07AE">
      <w:pPr>
        <w:pStyle w:val="Heading2"/>
        <w:rPr>
          <w:rFonts w:eastAsia="Calibri"/>
        </w:rPr>
      </w:pPr>
      <w:bookmarkStart w:id="8" w:name="_Toc523385923"/>
      <w:r w:rsidRPr="00065892">
        <w:rPr>
          <w:rFonts w:eastAsia="Calibri"/>
        </w:rPr>
        <w:t>Activities carried</w:t>
      </w:r>
      <w:r>
        <w:rPr>
          <w:rFonts w:eastAsia="Calibri"/>
        </w:rPr>
        <w:t xml:space="preserve"> out</w:t>
      </w:r>
      <w:r w:rsidRPr="002B279A">
        <w:rPr>
          <w:rFonts w:eastAsia="Calibri"/>
        </w:rPr>
        <w:t xml:space="preserve"> by </w:t>
      </w:r>
      <w:r>
        <w:rPr>
          <w:rFonts w:eastAsia="Calibri"/>
        </w:rPr>
        <w:t>Ghana</w:t>
      </w:r>
      <w:r w:rsidRPr="002B279A">
        <w:rPr>
          <w:rFonts w:eastAsia="Calibri"/>
        </w:rPr>
        <w:t xml:space="preserve"> to meet UNFCCC and Forest Carbon Partnershi</w:t>
      </w:r>
      <w:r w:rsidRPr="00065892">
        <w:rPr>
          <w:rFonts w:eastAsia="Calibri"/>
        </w:rPr>
        <w:t>p Facility (FCPF) REDD+ safeguard requirements</w:t>
      </w:r>
      <w:r w:rsidR="00667704">
        <w:rPr>
          <w:rFonts w:eastAsia="Calibri"/>
        </w:rPr>
        <w:t>.</w:t>
      </w:r>
      <w:bookmarkEnd w:id="8"/>
    </w:p>
    <w:p w14:paraId="3AE5D59C" w14:textId="77777777" w:rsidR="00AE07AE" w:rsidRPr="002859A9" w:rsidRDefault="00AE07AE" w:rsidP="00AE07AE">
      <w:pPr>
        <w:rPr>
          <w:iCs/>
        </w:rPr>
      </w:pPr>
    </w:p>
    <w:p w14:paraId="1E40955F" w14:textId="2A5472AB" w:rsidR="00AE07AE" w:rsidRDefault="00AE07AE" w:rsidP="00AE07AE">
      <w:pPr>
        <w:rPr>
          <w:rFonts w:eastAsia="Arial" w:cs="Arial"/>
          <w:bCs/>
          <w:color w:val="000000" w:themeColor="text1"/>
        </w:rPr>
      </w:pPr>
      <w:r>
        <w:rPr>
          <w:rFonts w:eastAsia="Arial" w:cs="Arial"/>
          <w:bCs/>
          <w:color w:val="000000" w:themeColor="text1"/>
        </w:rPr>
        <w:t xml:space="preserve">The Government of Ghana has committed to meeting the </w:t>
      </w:r>
      <w:r w:rsidRPr="00F8310C">
        <w:rPr>
          <w:rFonts w:eastAsia="Arial" w:cs="Arial"/>
          <w:b/>
          <w:bCs/>
          <w:color w:val="000000" w:themeColor="text1"/>
        </w:rPr>
        <w:t xml:space="preserve">UNFCCC and FCPF REDD+ </w:t>
      </w:r>
      <w:r w:rsidR="00D70456">
        <w:rPr>
          <w:rFonts w:eastAsia="Arial"/>
          <w:b/>
          <w:bCs/>
          <w:color w:val="000000"/>
        </w:rPr>
        <w:t xml:space="preserve">as well as other donor </w:t>
      </w:r>
      <w:r w:rsidRPr="00F8310C">
        <w:rPr>
          <w:rFonts w:eastAsia="Arial" w:cs="Arial"/>
          <w:b/>
          <w:bCs/>
          <w:color w:val="000000" w:themeColor="text1"/>
        </w:rPr>
        <w:t>safeguards requirements</w:t>
      </w:r>
      <w:r w:rsidR="006E46BB">
        <w:rPr>
          <w:rFonts w:eastAsia="Arial" w:cs="Arial"/>
          <w:bCs/>
          <w:color w:val="000000" w:themeColor="text1"/>
        </w:rPr>
        <w:t>.</w:t>
      </w:r>
      <w:r w:rsidR="00382870">
        <w:rPr>
          <w:rFonts w:eastAsia="Arial" w:cs="Arial"/>
          <w:bCs/>
          <w:color w:val="000000" w:themeColor="text1"/>
        </w:rPr>
        <w:t xml:space="preserve"> </w:t>
      </w:r>
      <w:r w:rsidR="00382870" w:rsidRPr="00382870">
        <w:rPr>
          <w:rFonts w:eastAsia="Arial" w:cs="Arial"/>
          <w:bCs/>
          <w:color w:val="000000" w:themeColor="text1"/>
        </w:rPr>
        <w:t>Ghana has conducted a Strategic Environmental and Social Assessment (SESA), and developed Environmental and Social Management Framework (ESMF) and Resettlement and Policy Framework (RPF) to ensure that safeguards-related issues are integrated into the</w:t>
      </w:r>
      <w:r w:rsidR="00D70456">
        <w:rPr>
          <w:rFonts w:eastAsia="Arial" w:cs="Arial"/>
          <w:bCs/>
          <w:color w:val="000000" w:themeColor="text1"/>
        </w:rPr>
        <w:t xml:space="preserve"> entire</w:t>
      </w:r>
      <w:r w:rsidR="00382870" w:rsidRPr="00382870">
        <w:rPr>
          <w:rFonts w:eastAsia="Arial" w:cs="Arial"/>
          <w:bCs/>
          <w:color w:val="000000" w:themeColor="text1"/>
        </w:rPr>
        <w:t xml:space="preserve"> REDD+ process. The ESMF establishes clear procedures and methodologies for the environmental and social assessment review, approval and implementation of interventions. It specifies appropriate roles and responsibilities and outlines the necessary reporting procedures for managing and monitoring environmental and social concerns. It is envisaged that the ESMF will be executed by the Forestry Commission in collaboration with other partners such as MLNR, COCOBOD, MOFA, EPA, Water Resources Commission, Lands Commission, etc. Detailed roles and capacities of these institutions have been captured in Ghana’s ESMF document</w:t>
      </w:r>
      <w:r w:rsidR="00382870">
        <w:rPr>
          <w:rStyle w:val="FootnoteReference"/>
          <w:rFonts w:eastAsia="Arial" w:cs="Arial"/>
          <w:bCs/>
          <w:color w:val="000000" w:themeColor="text1"/>
        </w:rPr>
        <w:footnoteReference w:id="12"/>
      </w:r>
      <w:r w:rsidR="00382870" w:rsidRPr="00382870">
        <w:rPr>
          <w:rFonts w:eastAsia="Arial" w:cs="Arial"/>
          <w:bCs/>
          <w:color w:val="000000" w:themeColor="text1"/>
        </w:rPr>
        <w:t>.</w:t>
      </w:r>
    </w:p>
    <w:p w14:paraId="6A71DA01" w14:textId="2CC54F80" w:rsidR="00AE07AE" w:rsidRDefault="00AE07AE" w:rsidP="00AE07AE">
      <w:pPr>
        <w:rPr>
          <w:rFonts w:eastAsia="Arial" w:cs="Arial"/>
          <w:bCs/>
          <w:color w:val="000000" w:themeColor="text1"/>
        </w:rPr>
      </w:pPr>
    </w:p>
    <w:p w14:paraId="0637991A" w14:textId="10A97C1F" w:rsidR="00AE07AE" w:rsidRDefault="00AE07AE" w:rsidP="00AE07AE">
      <w:pPr>
        <w:pStyle w:val="CommentText"/>
        <w:rPr>
          <w:sz w:val="22"/>
          <w:szCs w:val="22"/>
        </w:rPr>
      </w:pPr>
      <w:r w:rsidRPr="00C21316">
        <w:rPr>
          <w:rFonts w:eastAsia="Arial" w:cs="Arial"/>
          <w:bCs/>
          <w:color w:val="000000" w:themeColor="text1"/>
          <w:sz w:val="22"/>
          <w:szCs w:val="22"/>
        </w:rPr>
        <w:t xml:space="preserve">At the subnational, implementation level, </w:t>
      </w:r>
      <w:r w:rsidRPr="006E46BB">
        <w:rPr>
          <w:sz w:val="22"/>
          <w:szCs w:val="22"/>
        </w:rPr>
        <w:t>the National REDD+ S</w:t>
      </w:r>
      <w:r w:rsidR="00AA2B0A" w:rsidRPr="006E46BB">
        <w:rPr>
          <w:sz w:val="22"/>
          <w:szCs w:val="22"/>
        </w:rPr>
        <w:t>ecretariat</w:t>
      </w:r>
      <w:r w:rsidRPr="006E46BB">
        <w:rPr>
          <w:sz w:val="22"/>
          <w:szCs w:val="22"/>
        </w:rPr>
        <w:t xml:space="preserve"> (NRS) and partners fully understand the existing drivers and barriers to REDD+, particularly in the GCFRP area, and crucial processes are in motion to address critical policy issues, including: perverse tenure and input-supply policies, clarification of carbon rights, adaptation of customary land tenure norms, and revision of legislation to allow</w:t>
      </w:r>
      <w:r w:rsidRPr="00DD52B4">
        <w:rPr>
          <w:sz w:val="22"/>
          <w:szCs w:val="22"/>
        </w:rPr>
        <w:t xml:space="preserve"> Ghana’s alternative dispute resolution mechanism to function for REDD+. For example</w:t>
      </w:r>
      <w:r w:rsidR="006E46BB">
        <w:rPr>
          <w:sz w:val="22"/>
          <w:szCs w:val="22"/>
        </w:rPr>
        <w:t>,</w:t>
      </w:r>
      <w:r w:rsidRPr="00DD52B4">
        <w:rPr>
          <w:sz w:val="22"/>
          <w:szCs w:val="22"/>
        </w:rPr>
        <w:t xml:space="preserve"> in Ghana, the government does not own the land and cannot direct how land is used, so assigning a zero carbon stock to such a conversion would not have an impact.  The majority of farmers are smallholders and their decision process is not driven by carbon-project based calculations.  Rather, a smallholder cocoa farmer decides to convert a patch of forest to a cocoa farm based on traditional land use regimes.  Realistically, the programme can only hope to change these practices based on a suite of positive and tangible incentives, rather then abstract carbon allocations.   With respect to prospective plantation tree crop system, the GCFRP has been clear that nesting of carbon projects will not be permitted within the accounting area, unless already validated by a recognized carbon standard; so again, there is not peverse incentive towards conversion to tree crop plantations for possible gains.</w:t>
      </w:r>
    </w:p>
    <w:p w14:paraId="18BEC805" w14:textId="77777777" w:rsidR="00F8310C" w:rsidRPr="00DD52B4" w:rsidRDefault="00F8310C" w:rsidP="00AE07AE">
      <w:pPr>
        <w:pStyle w:val="CommentText"/>
        <w:rPr>
          <w:sz w:val="22"/>
          <w:szCs w:val="22"/>
        </w:rPr>
      </w:pPr>
    </w:p>
    <w:p w14:paraId="2887B3FF" w14:textId="7568397E" w:rsidR="00AE07AE" w:rsidRPr="00AF79C3" w:rsidRDefault="00AE07AE" w:rsidP="00C21316">
      <w:pPr>
        <w:pStyle w:val="CommentText"/>
      </w:pPr>
      <w:r w:rsidRPr="00DD52B4">
        <w:rPr>
          <w:sz w:val="22"/>
          <w:szCs w:val="22"/>
        </w:rPr>
        <w:t>Furthermore, under the readiness process and through the development of the GCFRP, the NRS has put in place a forest monitoring and MRV system, a safeguard system, an FGRM, and a data management / registry system to be tested in the early stages of programme implementation, and a benefit sharing plan that aims to appreciate, incentiv</w:t>
      </w:r>
      <w:r w:rsidR="00D70456">
        <w:rPr>
          <w:sz w:val="22"/>
          <w:szCs w:val="22"/>
        </w:rPr>
        <w:t>is</w:t>
      </w:r>
      <w:r w:rsidRPr="00DD52B4">
        <w:rPr>
          <w:sz w:val="22"/>
          <w:szCs w:val="22"/>
        </w:rPr>
        <w:t>e, and support the main stakeholders responsible for producing emission reductions, through carbon and non-carbon benefits</w:t>
      </w:r>
      <w:r w:rsidR="00667704">
        <w:rPr>
          <w:rStyle w:val="FootnoteReference"/>
          <w:sz w:val="22"/>
          <w:szCs w:val="22"/>
        </w:rPr>
        <w:footnoteReference w:id="13"/>
      </w:r>
      <w:r w:rsidRPr="00DD52B4">
        <w:rPr>
          <w:sz w:val="22"/>
          <w:szCs w:val="22"/>
        </w:rPr>
        <w:t>.</w:t>
      </w:r>
      <w:r w:rsidRPr="00865BFB">
        <w:rPr>
          <w:sz w:val="22"/>
          <w:szCs w:val="22"/>
        </w:rPr>
        <w:t xml:space="preserve">   </w:t>
      </w:r>
    </w:p>
    <w:p w14:paraId="2EAF0CDE" w14:textId="77777777" w:rsidR="00AE07AE" w:rsidRDefault="00AE07AE" w:rsidP="00AE07AE"/>
    <w:p w14:paraId="0C8D72B3" w14:textId="34545BE0" w:rsidR="00AE07AE" w:rsidRDefault="00AE3F32" w:rsidP="00AE07AE">
      <w:r>
        <w:t>Indeed, a</w:t>
      </w:r>
      <w:r w:rsidR="00AE07AE">
        <w:t>t the national level, under the first phase of readiness, described in the R-PP, spanning from 2010-2014</w:t>
      </w:r>
      <w:r w:rsidR="00AE07AE">
        <w:rPr>
          <w:rStyle w:val="FootnoteReference"/>
        </w:rPr>
        <w:footnoteReference w:id="14"/>
      </w:r>
      <w:r w:rsidR="00AE07AE">
        <w:t>, Ghana carried out a Strategic Environmental and Social Assessment (SESA)</w:t>
      </w:r>
      <w:r w:rsidR="00AE07AE">
        <w:rPr>
          <w:rStyle w:val="FootnoteReference"/>
        </w:rPr>
        <w:footnoteReference w:id="15"/>
      </w:r>
      <w:r w:rsidR="00AE07AE">
        <w:t xml:space="preserve"> using a consultative process, (which was completed in 2014</w:t>
      </w:r>
      <w:r w:rsidR="008B63FD">
        <w:t>, and updated in 2016</w:t>
      </w:r>
      <w:r w:rsidR="008B63FD">
        <w:rPr>
          <w:rStyle w:val="FootnoteReference"/>
        </w:rPr>
        <w:footnoteReference w:id="16"/>
      </w:r>
      <w:r w:rsidR="00AE07AE">
        <w:t xml:space="preserve">).  The SESA took into account national and institutional sustainability policies, plans and strategies and also addressed World Bank Safeguards Operational Policies. By conducting the SESA, the relationship between </w:t>
      </w:r>
      <w:r w:rsidR="00AE07AE">
        <w:lastRenderedPageBreak/>
        <w:t xml:space="preserve">national policies, laws, and regulations, and their effects on the proposed REDD+ interventions were identified. The SESA process also determined which World Bank Safeguards Operational Policies (OPs) would be triggered by planned REDD+ interventions, and this subsequently </w:t>
      </w:r>
      <w:r w:rsidR="00D70456">
        <w:t xml:space="preserve">resulted in </w:t>
      </w:r>
      <w:r w:rsidR="00AE07AE">
        <w:t xml:space="preserve">an Environmental and Social Management Framework (ESMF) with the necessary mitigation options for identified risks. The national SESA process for readiness produced three reports; the SESA report, the ESMF and the Resettlement Policy Framework (RPF).  Two additional documents were produced under Ghana’s Forest Investment program (FIP), based on the SESA conducted for readiness, these are the Pest Management Plan </w:t>
      </w:r>
      <w:r w:rsidR="00D70456">
        <w:t xml:space="preserve">(PMP) </w:t>
      </w:r>
      <w:r w:rsidR="00AE07AE">
        <w:t>and the Process Framework</w:t>
      </w:r>
      <w:r w:rsidR="00D70456">
        <w:t xml:space="preserve"> (PF)</w:t>
      </w:r>
      <w:r w:rsidR="00AE07AE">
        <w:t xml:space="preserve"> for stakeholder engagement</w:t>
      </w:r>
      <w:r w:rsidR="00AE07AE">
        <w:rPr>
          <w:rStyle w:val="FootnoteReference"/>
        </w:rPr>
        <w:footnoteReference w:id="17"/>
      </w:r>
      <w:r w:rsidR="00AE07AE">
        <w:t xml:space="preserve">. </w:t>
      </w:r>
    </w:p>
    <w:p w14:paraId="2975EC89" w14:textId="77777777" w:rsidR="00AE07AE" w:rsidRDefault="00AE07AE" w:rsidP="00AE07AE"/>
    <w:p w14:paraId="2BFFFD64" w14:textId="1822AA27" w:rsidR="00AE07AE" w:rsidRDefault="00AE07AE" w:rsidP="00AE07AE">
      <w:r>
        <w:t>The SESA process was carried out in a highly participatory and inclusive manner with relevant stakeholder representatives consulted at community, district, regional, and national levels</w:t>
      </w:r>
      <w:r>
        <w:rPr>
          <w:rStyle w:val="FootnoteReference"/>
        </w:rPr>
        <w:footnoteReference w:id="18"/>
      </w:r>
      <w:r>
        <w:t>.  As a demonstration of best practice, the SESA was also implemented in alignment with the development of Ghana’s National REDD+ Strategy. The process itself consisted of five steps that are based on Ghana’s Strategic Environmental Assessment (SEA) practice and made up the structure of the SESA report.  The steps include</w:t>
      </w:r>
      <w:r w:rsidR="00D70456">
        <w:t>d</w:t>
      </w:r>
      <w:r>
        <w:t xml:space="preserve">: </w:t>
      </w:r>
    </w:p>
    <w:p w14:paraId="16A8B2F5" w14:textId="77777777" w:rsidR="00AE07AE" w:rsidRDefault="00AE07AE" w:rsidP="00AE07AE">
      <w:pPr>
        <w:pStyle w:val="ListParagraph"/>
      </w:pPr>
    </w:p>
    <w:p w14:paraId="60E61B5F" w14:textId="77777777" w:rsidR="00AE07AE" w:rsidRDefault="00AE07AE" w:rsidP="0039326F">
      <w:pPr>
        <w:pStyle w:val="ListParagraph"/>
        <w:numPr>
          <w:ilvl w:val="0"/>
          <w:numId w:val="7"/>
        </w:numPr>
      </w:pPr>
      <w:r>
        <w:t xml:space="preserve">Preparation; </w:t>
      </w:r>
    </w:p>
    <w:p w14:paraId="76B4F874" w14:textId="77777777" w:rsidR="00AE07AE" w:rsidRDefault="00AE07AE" w:rsidP="0039326F">
      <w:pPr>
        <w:pStyle w:val="ListParagraph"/>
        <w:numPr>
          <w:ilvl w:val="0"/>
          <w:numId w:val="7"/>
        </w:numPr>
      </w:pPr>
      <w:r>
        <w:t xml:space="preserve">Scoping &amp; Situation Assessment/Baseline Study; </w:t>
      </w:r>
    </w:p>
    <w:p w14:paraId="17AC7E64" w14:textId="77777777" w:rsidR="00AE07AE" w:rsidRDefault="00AE07AE" w:rsidP="0039326F">
      <w:pPr>
        <w:pStyle w:val="ListParagraph"/>
        <w:numPr>
          <w:ilvl w:val="0"/>
          <w:numId w:val="7"/>
        </w:numPr>
      </w:pPr>
      <w:r>
        <w:t xml:space="preserve">Assessment of Strategy Options; </w:t>
      </w:r>
    </w:p>
    <w:p w14:paraId="4F798CBB" w14:textId="7AEA4DB2" w:rsidR="00AE07AE" w:rsidRDefault="00AE07AE" w:rsidP="0039326F">
      <w:pPr>
        <w:pStyle w:val="ListParagraph"/>
        <w:numPr>
          <w:ilvl w:val="0"/>
          <w:numId w:val="7"/>
        </w:numPr>
      </w:pPr>
      <w:r>
        <w:t xml:space="preserve">Monitoring and Evaluation Proposal; </w:t>
      </w:r>
      <w:r w:rsidR="006E46BB">
        <w:t>and</w:t>
      </w:r>
    </w:p>
    <w:p w14:paraId="0518C9F0" w14:textId="77777777" w:rsidR="00AE07AE" w:rsidRDefault="00AE07AE" w:rsidP="0039326F">
      <w:pPr>
        <w:pStyle w:val="ListParagraph"/>
        <w:numPr>
          <w:ilvl w:val="0"/>
          <w:numId w:val="7"/>
        </w:numPr>
      </w:pPr>
      <w:r>
        <w:t xml:space="preserve">Reporting, Communication and Learning.   </w:t>
      </w:r>
    </w:p>
    <w:p w14:paraId="2307B429" w14:textId="77777777" w:rsidR="00AE07AE" w:rsidRDefault="00AE07AE" w:rsidP="00AE07AE"/>
    <w:p w14:paraId="799756AB" w14:textId="672FE6C5" w:rsidR="00AE07AE" w:rsidRDefault="00AE07AE" w:rsidP="00AE07AE">
      <w:r>
        <w:t>It is worth noting that in relation to the fifth step (above), a REDD+ Communication Strategy had been developed previously in October 2013 and formed an integral part of the SESA communication process</w:t>
      </w:r>
      <w:r w:rsidR="008B63FD">
        <w:t>, and finally updated in 2016</w:t>
      </w:r>
      <w:r>
        <w:t xml:space="preserve">. The goal of the communication strategy was to enhance communication with different stakeholders and raise awareness and knowledge on climate change and REDD+ issues in the country. As part of the SESA process, it was seen to be important in increasing the visibility of REDD+, improving people’s understanding about the role forests play in sustaining livelihoods, and improving people’s knowledge of REDD+ within local communities. The existence of the communication strategy was therefore acknowledged to secure greater participation in and collective ownership of the process to develop strategies on REDD+ and safeguard measures.   </w:t>
      </w:r>
    </w:p>
    <w:p w14:paraId="3DE4CCCA" w14:textId="77777777" w:rsidR="00AE07AE" w:rsidRDefault="00AE07AE" w:rsidP="00AE07AE">
      <w:r>
        <w:t xml:space="preserve">                                                          </w:t>
      </w:r>
    </w:p>
    <w:p w14:paraId="0D91462A" w14:textId="41AB9568" w:rsidR="00AE07AE" w:rsidRDefault="00AE07AE" w:rsidP="00AE07AE">
      <w:r>
        <w:t xml:space="preserve">The communication strategy articulated different messages tailored to specific stakeholders’ groups including the media, local communities, NGOs, and private sector actors. While there were some common points for everyone, messages specific to each group were tailored and various communication tools were also identified </w:t>
      </w:r>
      <w:r w:rsidR="00D70456">
        <w:t xml:space="preserve">and </w:t>
      </w:r>
      <w:r>
        <w:t xml:space="preserve">employed such as the use of newsletters, radio, television, mobile megaphone announcements, public events (conferences, forums, roadshows, durbars and round table discussions). In particular, the NRS adopted an annual REDD+ Roadshow that started in 2014, which </w:t>
      </w:r>
      <w:r w:rsidR="00D70456">
        <w:t xml:space="preserve">covered </w:t>
      </w:r>
      <w:r>
        <w:t>the</w:t>
      </w:r>
      <w:r w:rsidR="00B30E59">
        <w:t xml:space="preserve"> entire</w:t>
      </w:r>
      <w:r>
        <w:t xml:space="preserve"> country</w:t>
      </w:r>
      <w:r w:rsidR="00B30E59">
        <w:t>,</w:t>
      </w:r>
      <w:r>
        <w:t xml:space="preserve"> raising awareness about REDD+ and the Ghana Cocoa-Forest REDD+ Program (GCFRP). A National REDD+ Forum was also</w:t>
      </w:r>
      <w:r w:rsidR="00B30E59">
        <w:t xml:space="preserve"> instituted </w:t>
      </w:r>
      <w:r>
        <w:t>to</w:t>
      </w:r>
      <w:r w:rsidR="00B30E59">
        <w:t xml:space="preserve"> be held</w:t>
      </w:r>
      <w:r>
        <w:t xml:space="preserve"> biennially, with the maiden forum organized in November 2015. The second REDD+ Forum </w:t>
      </w:r>
      <w:r w:rsidR="006C78C0">
        <w:t>was held in</w:t>
      </w:r>
      <w:r>
        <w:t xml:space="preserve"> November, 2017. </w:t>
      </w:r>
    </w:p>
    <w:p w14:paraId="193D7880" w14:textId="77777777" w:rsidR="00AE07AE" w:rsidRDefault="00AE07AE" w:rsidP="00AE07AE">
      <w:r>
        <w:t xml:space="preserve"> </w:t>
      </w:r>
    </w:p>
    <w:p w14:paraId="664485AA" w14:textId="6E8F9B42" w:rsidR="00AE07AE" w:rsidRDefault="00AE07AE" w:rsidP="00AE07AE">
      <w:r>
        <w:t xml:space="preserve">Ghana also produced an updated SESA report specific to the GCFRP, which aims to address the seven strategy options that are relevant to the GCFRP through its implementation plan.  These </w:t>
      </w:r>
      <w:r w:rsidR="00B30E59">
        <w:t>are</w:t>
      </w:r>
      <w:r>
        <w:t xml:space="preserve">: </w:t>
      </w:r>
    </w:p>
    <w:p w14:paraId="6DC8A951" w14:textId="77777777" w:rsidR="00AE07AE" w:rsidRDefault="00AE07AE" w:rsidP="00AE07AE">
      <w:r>
        <w:t xml:space="preserve"> </w:t>
      </w:r>
    </w:p>
    <w:p w14:paraId="46146B1B" w14:textId="77777777" w:rsidR="00AE07AE" w:rsidRDefault="00AE07AE" w:rsidP="0039326F">
      <w:pPr>
        <w:pStyle w:val="ListParagraph"/>
        <w:numPr>
          <w:ilvl w:val="1"/>
          <w:numId w:val="8"/>
        </w:numPr>
      </w:pPr>
      <w:r>
        <w:t xml:space="preserve">Improving the quality of multi-stakeholder dialogue and decision-making </w:t>
      </w:r>
    </w:p>
    <w:p w14:paraId="185DCD31" w14:textId="77777777" w:rsidR="00AE07AE" w:rsidRDefault="00AE07AE" w:rsidP="0039326F">
      <w:pPr>
        <w:pStyle w:val="ListParagraph"/>
        <w:numPr>
          <w:ilvl w:val="1"/>
          <w:numId w:val="8"/>
        </w:numPr>
      </w:pPr>
      <w:r>
        <w:t xml:space="preserve">Clarifying rights regime  </w:t>
      </w:r>
    </w:p>
    <w:p w14:paraId="6195973B" w14:textId="77777777" w:rsidR="00AE07AE" w:rsidRDefault="00AE07AE" w:rsidP="0039326F">
      <w:pPr>
        <w:pStyle w:val="ListParagraph"/>
        <w:numPr>
          <w:ilvl w:val="1"/>
          <w:numId w:val="8"/>
        </w:numPr>
      </w:pPr>
      <w:r>
        <w:t xml:space="preserve">Addressing unsustainable timber harvesting  </w:t>
      </w:r>
    </w:p>
    <w:p w14:paraId="42D7A8BF" w14:textId="77777777" w:rsidR="00AE07AE" w:rsidRDefault="00AE07AE" w:rsidP="0039326F">
      <w:pPr>
        <w:pStyle w:val="ListParagraph"/>
        <w:numPr>
          <w:ilvl w:val="1"/>
          <w:numId w:val="8"/>
        </w:numPr>
      </w:pPr>
      <w:r>
        <w:lastRenderedPageBreak/>
        <w:t xml:space="preserve">Mitigating effects of agricultural expansion (particularly cocoa in the HFZ)  </w:t>
      </w:r>
    </w:p>
    <w:p w14:paraId="667179F5" w14:textId="77777777" w:rsidR="00AE07AE" w:rsidRDefault="00AE07AE" w:rsidP="0039326F">
      <w:pPr>
        <w:pStyle w:val="ListParagraph"/>
        <w:numPr>
          <w:ilvl w:val="1"/>
          <w:numId w:val="8"/>
        </w:numPr>
      </w:pPr>
      <w:r>
        <w:t xml:space="preserve">Strengthening local decentralised management of natural resources  </w:t>
      </w:r>
    </w:p>
    <w:p w14:paraId="2A608C4A" w14:textId="77777777" w:rsidR="00AE07AE" w:rsidRDefault="00AE07AE" w:rsidP="0039326F">
      <w:pPr>
        <w:pStyle w:val="ListParagraph"/>
        <w:numPr>
          <w:ilvl w:val="1"/>
          <w:numId w:val="8"/>
        </w:numPr>
      </w:pPr>
      <w:r>
        <w:t xml:space="preserve">Expansion of high biomass agroforestry /tree crops systems  </w:t>
      </w:r>
    </w:p>
    <w:p w14:paraId="54F2B605" w14:textId="77777777" w:rsidR="00AE07AE" w:rsidRDefault="00AE07AE" w:rsidP="0039326F">
      <w:pPr>
        <w:pStyle w:val="ListParagraph"/>
        <w:numPr>
          <w:ilvl w:val="1"/>
          <w:numId w:val="8"/>
        </w:numPr>
      </w:pPr>
      <w:r>
        <w:t xml:space="preserve">Improving regulation of mining activities to reduce forest degradation  </w:t>
      </w:r>
    </w:p>
    <w:p w14:paraId="7E3DAE10" w14:textId="77777777" w:rsidR="00AE07AE" w:rsidRDefault="00AE07AE" w:rsidP="00AE07AE">
      <w:r>
        <w:t xml:space="preserve"> </w:t>
      </w:r>
    </w:p>
    <w:p w14:paraId="1F4B8A42" w14:textId="16442312" w:rsidR="00AE07AE" w:rsidRDefault="00AE07AE" w:rsidP="00AE07AE">
      <w:r>
        <w:t xml:space="preserve">The updated SESA report was developed in 2016 to better understand the environmental and social concerns of the programme, and to better define the necessary mitigation mechanisms and safeguards compliance </w:t>
      </w:r>
      <w:r w:rsidR="00B30E59">
        <w:t xml:space="preserve">regime </w:t>
      </w:r>
      <w:r>
        <w:t>associated with the seven strategy options that are to be applied through implementation of the GCFRP. Specifically, it details the risks and opportunities, and signals the World Bank Ops that would be triggered by the seven REDD+ strategy options. These have been captured in detail in Section 6 of the updated SESA report. The report also contains a review of relevant policies, laws and regulations (PLRs) in relation to the World Bank OPs and makes suggestions for regulatory reforms where appropriate. Appropriate mitigation measures and recommendations are provided in the ESMF to guide the implementation of all REDD+ interventions in the country including the proposed ER programme. The National REDD+ Secretariat (NRS) of the Forestry Commission is responsible for ensuring that mitigation measures and recommendations provided in the ESMF applicable to the ER Programme area are implemented.</w:t>
      </w:r>
    </w:p>
    <w:p w14:paraId="3003D5ED" w14:textId="77777777" w:rsidR="00AE07AE" w:rsidRDefault="00AE07AE" w:rsidP="00AE07AE"/>
    <w:p w14:paraId="1E32B7AC" w14:textId="1BB1C0AE" w:rsidR="00AE07AE" w:rsidRDefault="00AE07AE" w:rsidP="00AE07AE">
      <w:r w:rsidRPr="00DF42AC">
        <w:t>To effectively address the triggered safeguards operational policies the following documents were prepared to outline and address the needed mitigation approaches</w:t>
      </w:r>
      <w:r>
        <w:t>:</w:t>
      </w:r>
    </w:p>
    <w:p w14:paraId="1ABCFB68" w14:textId="77777777" w:rsidR="00AE07AE" w:rsidRDefault="00AE07AE" w:rsidP="00AE07AE">
      <w:pPr>
        <w:pStyle w:val="ListParagraph"/>
      </w:pPr>
    </w:p>
    <w:p w14:paraId="5F0587EA" w14:textId="3CF95A46" w:rsidR="00AE07AE" w:rsidRDefault="00AE07AE" w:rsidP="0039326F">
      <w:pPr>
        <w:pStyle w:val="ListParagraph"/>
        <w:numPr>
          <w:ilvl w:val="0"/>
          <w:numId w:val="9"/>
        </w:numPr>
      </w:pPr>
      <w:r w:rsidRPr="00037A2F">
        <w:rPr>
          <w:b/>
        </w:rPr>
        <w:t>Environmental and Social Management Fram</w:t>
      </w:r>
      <w:r w:rsidR="00292415" w:rsidRPr="00037A2F">
        <w:rPr>
          <w:b/>
        </w:rPr>
        <w:t>e</w:t>
      </w:r>
      <w:r w:rsidRPr="00037A2F">
        <w:rPr>
          <w:b/>
        </w:rPr>
        <w:t>work (ESMF):</w:t>
      </w:r>
      <w:r w:rsidR="00F8310C">
        <w:t xml:space="preserve"> </w:t>
      </w:r>
      <w:r w:rsidRPr="00DF42AC">
        <w:t>Ghana’s ESMF establishes clear procedures and responsibilities for the environmental and social screening of all likely interventions under the ER Programme, and identifies the environmental/social issues/concerns and likely impacts from the proposed ER Programme intervention and recommends appropriate mitigation measures to address the likely adverse impacts or risks. The document has identified relevant institutions to be involved with the implementation of the environmental/social mitigation measures and provides an environment/social due diligence capacity and training programme to ensure that appropriate training is provided to the institutions with limited capacity in environmental/social safeguards.  It specifies appropriate roles and responsibilities and outlines the necessary reporting procedures for managing and monitoring environmental and social concerns</w:t>
      </w:r>
      <w:r>
        <w:rPr>
          <w:rStyle w:val="FootnoteReference"/>
        </w:rPr>
        <w:footnoteReference w:id="19"/>
      </w:r>
      <w:r w:rsidRPr="00DF42AC">
        <w:t>.</w:t>
      </w:r>
    </w:p>
    <w:p w14:paraId="723C129E" w14:textId="77777777" w:rsidR="00AE07AE" w:rsidRDefault="00AE07AE" w:rsidP="00AE07AE">
      <w:pPr>
        <w:pStyle w:val="ListParagraph"/>
      </w:pPr>
    </w:p>
    <w:p w14:paraId="05A325D9" w14:textId="77777777" w:rsidR="00AE07AE" w:rsidRDefault="00AE07AE" w:rsidP="0039326F">
      <w:pPr>
        <w:pStyle w:val="ListParagraph"/>
        <w:numPr>
          <w:ilvl w:val="0"/>
          <w:numId w:val="9"/>
        </w:numPr>
        <w:jc w:val="left"/>
      </w:pPr>
      <w:r w:rsidRPr="00037A2F">
        <w:rPr>
          <w:b/>
        </w:rPr>
        <w:t>Resettlement Policy Framework (RPF)</w:t>
      </w:r>
      <w:r w:rsidRPr="00B30E59">
        <w:rPr>
          <w:rStyle w:val="FootnoteReference"/>
        </w:rPr>
        <w:footnoteReference w:id="20"/>
      </w:r>
      <w:r w:rsidRPr="00037A2F">
        <w:rPr>
          <w:b/>
        </w:rPr>
        <w:t>:</w:t>
      </w:r>
      <w:r>
        <w:t xml:space="preserve"> </w:t>
      </w:r>
      <w:r w:rsidRPr="004A34B0">
        <w:t xml:space="preserve">The 2014 SESA also triggered a Resettlement and Policy Framework in response to the World Bank OP 4.12 on involuntary resettlement. The RPF was updated to contribute to the smooth implementation of the GCFRP with regards to social impacts such as: </w:t>
      </w:r>
    </w:p>
    <w:p w14:paraId="5EEF9F6A" w14:textId="77777777" w:rsidR="00AE07AE" w:rsidRDefault="00AE07AE" w:rsidP="0039326F">
      <w:pPr>
        <w:pStyle w:val="ListParagraph"/>
        <w:numPr>
          <w:ilvl w:val="1"/>
          <w:numId w:val="9"/>
        </w:numPr>
      </w:pPr>
      <w:r w:rsidRPr="004A34B0">
        <w:t xml:space="preserve">a. Involuntary Resettlement,  </w:t>
      </w:r>
    </w:p>
    <w:p w14:paraId="29C39E72" w14:textId="4F023930" w:rsidR="00AE07AE" w:rsidRDefault="00AE07AE" w:rsidP="0039326F">
      <w:pPr>
        <w:pStyle w:val="ListParagraph"/>
        <w:numPr>
          <w:ilvl w:val="1"/>
          <w:numId w:val="9"/>
        </w:numPr>
      </w:pPr>
      <w:r w:rsidRPr="004A34B0">
        <w:t xml:space="preserve">b. </w:t>
      </w:r>
      <w:r w:rsidR="00B30E59">
        <w:t>A</w:t>
      </w:r>
      <w:r w:rsidRPr="004A34B0">
        <w:t xml:space="preserve">cquisition of land,  </w:t>
      </w:r>
    </w:p>
    <w:p w14:paraId="50A23555" w14:textId="2358C380" w:rsidR="00AE07AE" w:rsidRDefault="00AE07AE" w:rsidP="0039326F">
      <w:pPr>
        <w:pStyle w:val="ListParagraph"/>
        <w:numPr>
          <w:ilvl w:val="1"/>
          <w:numId w:val="9"/>
        </w:numPr>
      </w:pPr>
      <w:r w:rsidRPr="004A34B0">
        <w:t xml:space="preserve">c. </w:t>
      </w:r>
      <w:r w:rsidR="00B30E59">
        <w:t>I</w:t>
      </w:r>
      <w:r w:rsidRPr="004A34B0">
        <w:t xml:space="preserve">mpacts on socio-cultural resources </w:t>
      </w:r>
    </w:p>
    <w:p w14:paraId="79E4E760" w14:textId="1F50CFE8" w:rsidR="00AE07AE" w:rsidRDefault="00AE07AE" w:rsidP="0039326F">
      <w:pPr>
        <w:pStyle w:val="ListParagraph"/>
        <w:numPr>
          <w:ilvl w:val="1"/>
          <w:numId w:val="9"/>
        </w:numPr>
      </w:pPr>
      <w:r w:rsidRPr="004A34B0">
        <w:t xml:space="preserve">d. </w:t>
      </w:r>
      <w:r w:rsidR="00B30E59">
        <w:t>I</w:t>
      </w:r>
      <w:r w:rsidRPr="004A34B0">
        <w:t xml:space="preserve">mpacts on livelihoods or  </w:t>
      </w:r>
    </w:p>
    <w:p w14:paraId="5D8D447C" w14:textId="72F28E34" w:rsidR="00AE07AE" w:rsidRDefault="00AE07AE" w:rsidP="0039326F">
      <w:pPr>
        <w:pStyle w:val="ListParagraph"/>
        <w:numPr>
          <w:ilvl w:val="1"/>
          <w:numId w:val="9"/>
        </w:numPr>
      </w:pPr>
      <w:r w:rsidRPr="004A34B0">
        <w:t>e. Restricted access to Natural Resources.</w:t>
      </w:r>
    </w:p>
    <w:p w14:paraId="5E465B66" w14:textId="77777777" w:rsidR="00C3748F" w:rsidRDefault="00C3748F" w:rsidP="00C21316">
      <w:pPr>
        <w:pStyle w:val="ListParagraph"/>
        <w:ind w:left="1440"/>
      </w:pPr>
    </w:p>
    <w:p w14:paraId="0F893792" w14:textId="4C2D314B" w:rsidR="00AE07AE" w:rsidRDefault="00AE07AE" w:rsidP="0039326F">
      <w:pPr>
        <w:pStyle w:val="ListParagraph"/>
        <w:numPr>
          <w:ilvl w:val="0"/>
          <w:numId w:val="9"/>
        </w:numPr>
      </w:pPr>
      <w:r w:rsidRPr="00037A2F">
        <w:rPr>
          <w:b/>
        </w:rPr>
        <w:t>Process Framework (PF):</w:t>
      </w:r>
      <w:r w:rsidRPr="004A34B0">
        <w:t xml:space="preserve">The Process Framework (PF) prepared for the </w:t>
      </w:r>
      <w:r>
        <w:t xml:space="preserve">Forest Investment Program </w:t>
      </w:r>
      <w:r w:rsidRPr="004A34B0">
        <w:t xml:space="preserve">FIP has been prepared because the project may cause restrictions in access to natural resources in legally designated parks and protected areas. The Process Framework establishes a process by which members of potentially affected communities are engaged and participate in the design of project components, determination of measures necessary to achieve resettlement policy objectives and implementation and monitoring of relevant project </w:t>
      </w:r>
      <w:r w:rsidRPr="004A34B0">
        <w:lastRenderedPageBreak/>
        <w:t>activities (link to PF). Currently, an institutional training to ensure the smooth implementation and monitoring of the environmental and social issues and impacts identified in the FIP ESMF/PF is being implemented by the Forestry Commission.</w:t>
      </w:r>
    </w:p>
    <w:p w14:paraId="7CC8F0E5" w14:textId="77777777" w:rsidR="00C3748F" w:rsidRDefault="00C3748F" w:rsidP="00C21316">
      <w:pPr>
        <w:pStyle w:val="ListParagraph"/>
      </w:pPr>
    </w:p>
    <w:p w14:paraId="1E258C72" w14:textId="3976EDB5" w:rsidR="00AE07AE" w:rsidRDefault="00AE07AE" w:rsidP="0039326F">
      <w:pPr>
        <w:pStyle w:val="ListParagraph"/>
        <w:numPr>
          <w:ilvl w:val="0"/>
          <w:numId w:val="9"/>
        </w:numPr>
      </w:pPr>
      <w:r>
        <w:t xml:space="preserve">Pest Management </w:t>
      </w:r>
      <w:r w:rsidR="00B30E59">
        <w:t xml:space="preserve">Plan </w:t>
      </w:r>
      <w:r>
        <w:t>(PM</w:t>
      </w:r>
      <w:r w:rsidR="00B30E59">
        <w:t>P</w:t>
      </w:r>
      <w:r>
        <w:t>)</w:t>
      </w:r>
      <w:r>
        <w:rPr>
          <w:rStyle w:val="FootnoteReference"/>
        </w:rPr>
        <w:footnoteReference w:id="21"/>
      </w:r>
      <w:r>
        <w:t xml:space="preserve">:The specific objective of the Pest Management Plan produced for the FIP is to promote the use of biological and environmental control methods for pest management and reduce the use of synthetic chemical pesticides to ensure that health and environmental hazards associated with pesticides are minimized. </w:t>
      </w:r>
    </w:p>
    <w:p w14:paraId="2189B1EE" w14:textId="77777777" w:rsidR="00AE07AE" w:rsidRDefault="00AE07AE" w:rsidP="00AE07AE"/>
    <w:p w14:paraId="3A7BB9FF" w14:textId="4508F9E9" w:rsidR="00AE07AE" w:rsidRDefault="00AE07AE" w:rsidP="00AE07AE">
      <w:r>
        <w:t xml:space="preserve">Finally, </w:t>
      </w:r>
      <w:r w:rsidRPr="00437643">
        <w:t>Ghana’s process for ensuring compliance with the Cancun Safeguards is being conducted in partnership with SNV Netherlands Development Organization, KASA Ghana (a civil society organization), and with technical support from the British Organization Climate Law and Policy (CLP).  This work was supported by the International Climate Initiative of BMUB</w:t>
      </w:r>
      <w:r>
        <w:rPr>
          <w:rStyle w:val="FootnoteReference"/>
        </w:rPr>
        <w:footnoteReference w:id="22"/>
      </w:r>
      <w:r w:rsidRPr="00437643">
        <w:t xml:space="preserve"> as part of a bigger project of Operationalizing National Safeguards Requirements for Results Based Payments where Ghana is defining its Country Approach to Safeguards (CAS). The end result of the CAS would be a functional SIS to report on how safeguards are</w:t>
      </w:r>
      <w:r>
        <w:t xml:space="preserve"> </w:t>
      </w:r>
      <w:r w:rsidRPr="00437643">
        <w:t>being addressed and respected for REDD+ Implementation.</w:t>
      </w:r>
      <w:r>
        <w:t xml:space="preserve"> </w:t>
      </w:r>
      <w:r w:rsidRPr="00437643">
        <w:t>Overall, the assessment of the PLRs indicates that Ghana’s legal framework is largely supportive of REDD+ actions, however, the results of the legal analysis and of the SESA clearly identify legislative and policy gaps which will require reforms.</w:t>
      </w:r>
      <w:r>
        <w:t xml:space="preserve"> </w:t>
      </w:r>
      <w:r w:rsidRPr="00437643">
        <w:t xml:space="preserve">The full legal analysis outlines how the legal framework addresses each safeguard component on paper and in practice, the gaps with respect to PLRs on paper and in practice, and recommendations on how to address the gaps on paper and through implementation. </w:t>
      </w:r>
      <w:r w:rsidR="00197DDD">
        <w:t xml:space="preserve">Creating the specific link between the safeguards and the country context is the </w:t>
      </w:r>
      <w:r w:rsidR="00543356">
        <w:t xml:space="preserve">safeguards interpretation </w:t>
      </w:r>
      <w:r w:rsidR="00197DDD">
        <w:t xml:space="preserve">process, described below. </w:t>
      </w:r>
    </w:p>
    <w:p w14:paraId="55B59E5F" w14:textId="33898E2F" w:rsidR="00D238DE" w:rsidRDefault="00D238DE" w:rsidP="00AE07AE"/>
    <w:p w14:paraId="28DABFB6" w14:textId="77777777" w:rsidR="004D1524" w:rsidRDefault="004D1524" w:rsidP="00C21316">
      <w:pPr>
        <w:pStyle w:val="Heading2"/>
      </w:pPr>
      <w:bookmarkStart w:id="9" w:name="_Toc523385924"/>
    </w:p>
    <w:p w14:paraId="566343FF" w14:textId="32740B1A" w:rsidR="00D238DE" w:rsidRDefault="00D238DE" w:rsidP="00C21316">
      <w:pPr>
        <w:pStyle w:val="Heading2"/>
      </w:pPr>
      <w:r>
        <w:t>Interpretation of the Cancun safeguards in accordance with the country context, including the components/elements identified for each of the Cancun safeguards</w:t>
      </w:r>
      <w:bookmarkEnd w:id="9"/>
    </w:p>
    <w:p w14:paraId="3934600F" w14:textId="77777777" w:rsidR="00D238DE" w:rsidRDefault="00D238DE" w:rsidP="00D238DE"/>
    <w:p w14:paraId="32747754" w14:textId="77777777" w:rsidR="00A013F6" w:rsidRDefault="00A013F6" w:rsidP="00A013F6">
      <w:pPr>
        <w:rPr>
          <w:rFonts w:eastAsia="Arial" w:cs="Arial"/>
          <w:bCs/>
          <w:color w:val="000000" w:themeColor="text1"/>
        </w:rPr>
      </w:pPr>
      <w:r w:rsidRPr="00092DC3">
        <w:rPr>
          <w:rFonts w:eastAsia="Arial" w:cs="Arial"/>
          <w:bCs/>
          <w:color w:val="000000" w:themeColor="text1"/>
        </w:rPr>
        <w:t xml:space="preserve">This </w:t>
      </w:r>
      <w:r>
        <w:rPr>
          <w:rFonts w:eastAsia="Arial" w:cs="Arial"/>
          <w:bCs/>
          <w:color w:val="000000" w:themeColor="text1"/>
        </w:rPr>
        <w:t>section</w:t>
      </w:r>
      <w:r w:rsidRPr="00092DC3">
        <w:rPr>
          <w:rFonts w:eastAsia="Arial" w:cs="Arial"/>
          <w:bCs/>
          <w:color w:val="000000" w:themeColor="text1"/>
        </w:rPr>
        <w:t xml:space="preserve"> provide</w:t>
      </w:r>
      <w:r>
        <w:rPr>
          <w:rFonts w:eastAsia="Arial" w:cs="Arial"/>
          <w:bCs/>
          <w:color w:val="000000" w:themeColor="text1"/>
        </w:rPr>
        <w:t>s</w:t>
      </w:r>
      <w:r w:rsidRPr="00092DC3">
        <w:rPr>
          <w:rFonts w:eastAsia="Arial" w:cs="Arial"/>
          <w:bCs/>
          <w:color w:val="000000" w:themeColor="text1"/>
        </w:rPr>
        <w:t xml:space="preserve"> a preliminary and indicative clarification of the</w:t>
      </w:r>
      <w:r>
        <w:rPr>
          <w:rFonts w:eastAsia="Arial" w:cs="Arial"/>
          <w:bCs/>
          <w:color w:val="000000" w:themeColor="text1"/>
        </w:rPr>
        <w:t xml:space="preserve"> UNFCCC </w:t>
      </w:r>
      <w:r w:rsidRPr="00092DC3">
        <w:rPr>
          <w:rFonts w:eastAsia="Arial" w:cs="Arial"/>
          <w:bCs/>
          <w:color w:val="000000" w:themeColor="text1"/>
        </w:rPr>
        <w:t xml:space="preserve">REDD+ safeguards in accordance with </w:t>
      </w:r>
      <w:r>
        <w:rPr>
          <w:rFonts w:eastAsia="Arial" w:cs="Arial"/>
          <w:bCs/>
          <w:color w:val="000000" w:themeColor="text1"/>
        </w:rPr>
        <w:t>Ghana</w:t>
      </w:r>
      <w:r w:rsidRPr="00092DC3">
        <w:rPr>
          <w:rFonts w:eastAsia="Arial" w:cs="Arial"/>
          <w:bCs/>
          <w:color w:val="000000" w:themeColor="text1"/>
        </w:rPr>
        <w:t>'s national context</w:t>
      </w:r>
      <w:r>
        <w:rPr>
          <w:rFonts w:eastAsia="Arial" w:cs="Arial"/>
          <w:bCs/>
          <w:color w:val="000000" w:themeColor="text1"/>
        </w:rPr>
        <w:t>:</w:t>
      </w:r>
      <w:r w:rsidRPr="00092DC3">
        <w:rPr>
          <w:rFonts w:eastAsia="Arial" w:cs="Arial"/>
          <w:bCs/>
          <w:color w:val="000000" w:themeColor="text1"/>
        </w:rPr>
        <w:t xml:space="preserve"> </w:t>
      </w:r>
    </w:p>
    <w:p w14:paraId="39128CC9" w14:textId="77777777" w:rsidR="00A013F6" w:rsidRDefault="00A013F6" w:rsidP="00A013F6">
      <w:pPr>
        <w:rPr>
          <w:rFonts w:eastAsia="Arial" w:cs="Arial"/>
          <w:bCs/>
          <w:color w:val="000000" w:themeColor="text1"/>
        </w:rPr>
      </w:pPr>
    </w:p>
    <w:p w14:paraId="4DAB82EF" w14:textId="228A069B" w:rsidR="00A013F6" w:rsidRDefault="00A013F6">
      <w:pPr>
        <w:rPr>
          <w:rFonts w:eastAsia="Arial" w:cs="Arial"/>
          <w:bCs/>
          <w:color w:val="000000" w:themeColor="text1"/>
        </w:rPr>
      </w:pPr>
      <w:r w:rsidRPr="00092DC3">
        <w:rPr>
          <w:rFonts w:eastAsia="Arial" w:cs="Arial"/>
          <w:bCs/>
          <w:color w:val="000000" w:themeColor="text1"/>
        </w:rPr>
        <w:t xml:space="preserve">Parties to the UNFCCC agreed to a set of seven broad principles that are expected to be applied in accordance with national context and circumstances.  </w:t>
      </w:r>
      <w:r w:rsidR="00B30E59">
        <w:rPr>
          <w:rFonts w:eastAsia="Arial" w:cs="Arial"/>
          <w:bCs/>
          <w:color w:val="000000" w:themeColor="text1"/>
        </w:rPr>
        <w:t>T</w:t>
      </w:r>
      <w:r w:rsidRPr="00092DC3">
        <w:rPr>
          <w:rFonts w:eastAsia="Arial" w:cs="Arial"/>
          <w:bCs/>
          <w:color w:val="000000" w:themeColor="text1"/>
        </w:rPr>
        <w:t>he final series of decisions on REDD+, which were agreed upon in Paris at COP 21, “strongly encourages” developing country Parties, when providing the summary of information</w:t>
      </w:r>
      <w:r w:rsidR="00B30E59">
        <w:rPr>
          <w:rFonts w:eastAsia="Arial" w:cs="Arial"/>
          <w:bCs/>
          <w:color w:val="000000" w:themeColor="text1"/>
        </w:rPr>
        <w:t xml:space="preserve"> (SoI)</w:t>
      </w:r>
      <w:r w:rsidRPr="00092DC3">
        <w:rPr>
          <w:rFonts w:eastAsia="Arial" w:cs="Arial"/>
          <w:bCs/>
          <w:color w:val="000000" w:themeColor="text1"/>
        </w:rPr>
        <w:t xml:space="preserve"> on how the Cancun Safeguards are being addressed and respected, to include, inter alia: “A description of each safeguard in accordance with national circumstances.”</w:t>
      </w:r>
      <w:r w:rsidRPr="00092DC3">
        <w:rPr>
          <w:rFonts w:eastAsia="Arial" w:cs="Arial"/>
          <w:bCs/>
          <w:color w:val="000000" w:themeColor="text1"/>
          <w:vertAlign w:val="superscript"/>
        </w:rPr>
        <w:footnoteReference w:id="23"/>
      </w:r>
      <w:r w:rsidRPr="00092DC3">
        <w:rPr>
          <w:rFonts w:eastAsia="Arial" w:cs="Arial"/>
          <w:bCs/>
          <w:color w:val="000000" w:themeColor="text1"/>
        </w:rPr>
        <w:t xml:space="preserve"> </w:t>
      </w:r>
    </w:p>
    <w:p w14:paraId="10F48DB2" w14:textId="77777777" w:rsidR="007F7906" w:rsidRPr="00092DC3" w:rsidRDefault="007F7906" w:rsidP="00A013F6">
      <w:pPr>
        <w:rPr>
          <w:rFonts w:eastAsia="Arial" w:cs="Arial"/>
          <w:bCs/>
          <w:color w:val="000000" w:themeColor="text1"/>
        </w:rPr>
      </w:pPr>
    </w:p>
    <w:p w14:paraId="47CAD9A6" w14:textId="20E76BCC" w:rsidR="00A013F6" w:rsidRPr="00092DC3" w:rsidRDefault="00A013F6" w:rsidP="00A013F6">
      <w:pPr>
        <w:rPr>
          <w:rFonts w:eastAsia="Arial" w:cs="Arial"/>
          <w:bCs/>
          <w:color w:val="000000" w:themeColor="text1"/>
        </w:rPr>
      </w:pPr>
      <w:r w:rsidRPr="00092DC3">
        <w:rPr>
          <w:rFonts w:eastAsia="Arial" w:cs="Arial"/>
          <w:bCs/>
          <w:color w:val="000000" w:themeColor="text1"/>
        </w:rPr>
        <w:t xml:space="preserve">The purpose of the clarification is to specify how the principles/objectives encompassed in the </w:t>
      </w:r>
      <w:r w:rsidR="00E364D4">
        <w:rPr>
          <w:rFonts w:eastAsia="Arial" w:cs="Arial"/>
          <w:bCs/>
          <w:color w:val="000000" w:themeColor="text1"/>
        </w:rPr>
        <w:t>Cancun</w:t>
      </w:r>
      <w:r w:rsidRPr="00092DC3">
        <w:rPr>
          <w:rFonts w:eastAsia="Arial" w:cs="Arial"/>
          <w:bCs/>
          <w:color w:val="000000" w:themeColor="text1"/>
        </w:rPr>
        <w:t xml:space="preserve"> safeguards translate into concrete rights and obligations in the context of </w:t>
      </w:r>
      <w:r w:rsidR="00F96434">
        <w:rPr>
          <w:rFonts w:eastAsia="Arial" w:cs="Arial"/>
          <w:bCs/>
          <w:color w:val="000000" w:themeColor="text1"/>
        </w:rPr>
        <w:t>Ghana</w:t>
      </w:r>
      <w:r w:rsidRPr="00092DC3">
        <w:rPr>
          <w:rFonts w:eastAsia="Arial" w:cs="Arial"/>
          <w:bCs/>
          <w:color w:val="000000" w:themeColor="text1"/>
        </w:rPr>
        <w:t xml:space="preserve">. In other words, the clarification is expected to contextualize the general principles outlined in the </w:t>
      </w:r>
      <w:r w:rsidR="00E364D4">
        <w:rPr>
          <w:rFonts w:eastAsia="Arial" w:cs="Arial"/>
          <w:bCs/>
          <w:color w:val="000000" w:themeColor="text1"/>
        </w:rPr>
        <w:t>Cancun</w:t>
      </w:r>
      <w:r w:rsidRPr="00092DC3">
        <w:rPr>
          <w:rFonts w:eastAsia="Arial" w:cs="Arial"/>
          <w:bCs/>
          <w:color w:val="000000" w:themeColor="text1"/>
        </w:rPr>
        <w:t xml:space="preserve"> safeguards into specific principles and objectives that are to be followed and promoted in the context of the implementation of REDD+ activities in </w:t>
      </w:r>
      <w:r w:rsidR="007F7906">
        <w:rPr>
          <w:rFonts w:eastAsia="Arial" w:cs="Arial"/>
          <w:bCs/>
          <w:color w:val="000000" w:themeColor="text1"/>
        </w:rPr>
        <w:t>Ghana</w:t>
      </w:r>
      <w:r w:rsidRPr="00092DC3">
        <w:rPr>
          <w:rFonts w:eastAsia="Arial" w:cs="Arial"/>
          <w:bCs/>
          <w:color w:val="000000" w:themeColor="text1"/>
        </w:rPr>
        <w:t>, and which are anchored in the country’s policies, laws and regulations (PLRs).</w:t>
      </w:r>
    </w:p>
    <w:p w14:paraId="4C0F4DCD" w14:textId="02289056" w:rsidR="00A013F6" w:rsidRDefault="00A013F6" w:rsidP="00A013F6">
      <w:pPr>
        <w:rPr>
          <w:rFonts w:eastAsia="Arial" w:cs="Arial"/>
          <w:bCs/>
          <w:color w:val="000000" w:themeColor="text1"/>
        </w:rPr>
      </w:pPr>
    </w:p>
    <w:p w14:paraId="05061109" w14:textId="2A8AEAE1" w:rsidR="00A013F6" w:rsidRDefault="00A013F6" w:rsidP="00A013F6">
      <w:pPr>
        <w:rPr>
          <w:rFonts w:ascii="Calibri" w:hAnsi="Calibri"/>
          <w:szCs w:val="22"/>
        </w:rPr>
      </w:pPr>
      <w:r w:rsidRPr="003A4F4F">
        <w:rPr>
          <w:rFonts w:ascii="Calibri" w:hAnsi="Calibri"/>
          <w:szCs w:val="22"/>
        </w:rPr>
        <w:lastRenderedPageBreak/>
        <w:t>The clarification</w:t>
      </w:r>
      <w:r w:rsidR="00E364D4">
        <w:rPr>
          <w:rFonts w:ascii="Calibri" w:hAnsi="Calibri"/>
          <w:szCs w:val="22"/>
        </w:rPr>
        <w:t xml:space="preserve"> </w:t>
      </w:r>
      <w:r w:rsidRPr="003A4F4F">
        <w:rPr>
          <w:rFonts w:ascii="Calibri" w:hAnsi="Calibri"/>
          <w:szCs w:val="22"/>
        </w:rPr>
        <w:t xml:space="preserve">of the Cancun Safeguards in accordance with national circumstances is </w:t>
      </w:r>
      <w:r>
        <w:rPr>
          <w:rFonts w:ascii="Calibri" w:hAnsi="Calibri"/>
          <w:szCs w:val="22"/>
        </w:rPr>
        <w:t xml:space="preserve">considered </w:t>
      </w:r>
      <w:r w:rsidRPr="003A4F4F">
        <w:rPr>
          <w:rFonts w:ascii="Calibri" w:hAnsi="Calibri"/>
          <w:szCs w:val="22"/>
        </w:rPr>
        <w:t xml:space="preserve">an essential </w:t>
      </w:r>
      <w:r>
        <w:rPr>
          <w:rFonts w:ascii="Calibri" w:hAnsi="Calibri"/>
          <w:szCs w:val="22"/>
        </w:rPr>
        <w:t xml:space="preserve">step in the design of an effective safeguard governance framework for REDD+ </w:t>
      </w:r>
      <w:r w:rsidRPr="003A4F4F">
        <w:rPr>
          <w:rFonts w:ascii="Calibri" w:hAnsi="Calibri"/>
          <w:szCs w:val="22"/>
        </w:rPr>
        <w:t>for two reasons:</w:t>
      </w:r>
    </w:p>
    <w:p w14:paraId="54C82D4E" w14:textId="77777777" w:rsidR="00A013F6" w:rsidRPr="003A4F4F" w:rsidRDefault="00A013F6" w:rsidP="00A013F6">
      <w:pPr>
        <w:rPr>
          <w:rFonts w:ascii="Calibri" w:hAnsi="Calibri"/>
          <w:szCs w:val="22"/>
        </w:rPr>
      </w:pPr>
    </w:p>
    <w:p w14:paraId="1E7EFB87" w14:textId="77777777" w:rsidR="00A013F6" w:rsidRPr="003A4F4F" w:rsidRDefault="00A013F6" w:rsidP="0039326F">
      <w:pPr>
        <w:numPr>
          <w:ilvl w:val="0"/>
          <w:numId w:val="10"/>
        </w:numPr>
        <w:contextualSpacing/>
        <w:rPr>
          <w:rFonts w:ascii="Calibri" w:hAnsi="Calibri"/>
          <w:szCs w:val="22"/>
        </w:rPr>
      </w:pPr>
      <w:r w:rsidRPr="001B4B10">
        <w:rPr>
          <w:rFonts w:ascii="Calibri" w:hAnsi="Calibri"/>
          <w:b/>
          <w:szCs w:val="22"/>
        </w:rPr>
        <w:t>It is one of the foundations of the Safeguard Information System (SIS)</w:t>
      </w:r>
      <w:r w:rsidRPr="003A4F4F">
        <w:rPr>
          <w:rFonts w:ascii="Calibri" w:hAnsi="Calibri"/>
          <w:szCs w:val="22"/>
        </w:rPr>
        <w:t xml:space="preserve"> as it is key to determining the types of information that are to be </w:t>
      </w:r>
      <w:r w:rsidRPr="003A4F4F">
        <w:rPr>
          <w:rFonts w:ascii="Calibri" w:hAnsi="Calibri"/>
          <w:i/>
          <w:szCs w:val="22"/>
        </w:rPr>
        <w:t>gathered</w:t>
      </w:r>
      <w:r w:rsidRPr="003A4F4F">
        <w:rPr>
          <w:rFonts w:ascii="Calibri" w:hAnsi="Calibri"/>
          <w:szCs w:val="22"/>
        </w:rPr>
        <w:t xml:space="preserve"> by the SIS; and</w:t>
      </w:r>
    </w:p>
    <w:p w14:paraId="7E68FE86" w14:textId="2E61742F" w:rsidR="00E364D4" w:rsidRPr="00A013F6" w:rsidRDefault="00A013F6" w:rsidP="0039326F">
      <w:pPr>
        <w:numPr>
          <w:ilvl w:val="0"/>
          <w:numId w:val="10"/>
        </w:numPr>
        <w:contextualSpacing/>
      </w:pPr>
      <w:r w:rsidRPr="001B4B10">
        <w:rPr>
          <w:rFonts w:ascii="Calibri" w:hAnsi="Calibri"/>
          <w:b/>
          <w:szCs w:val="22"/>
        </w:rPr>
        <w:t>It is central to the preparation of the summary of information</w:t>
      </w:r>
      <w:r w:rsidRPr="003A4F4F">
        <w:rPr>
          <w:rFonts w:ascii="Calibri" w:hAnsi="Calibri"/>
          <w:szCs w:val="22"/>
        </w:rPr>
        <w:t xml:space="preserve">, as it helps to determine the information that should be </w:t>
      </w:r>
      <w:r w:rsidRPr="00C21316">
        <w:rPr>
          <w:rFonts w:ascii="Calibri" w:hAnsi="Calibri"/>
          <w:iCs/>
          <w:szCs w:val="22"/>
        </w:rPr>
        <w:t>provided</w:t>
      </w:r>
      <w:r w:rsidRPr="003A4F4F">
        <w:rPr>
          <w:rFonts w:ascii="Calibri" w:hAnsi="Calibri"/>
          <w:szCs w:val="22"/>
        </w:rPr>
        <w:t xml:space="preserve"> to the UNFCCC to demonstrate how the safeguards are being addressed and respected. </w:t>
      </w:r>
    </w:p>
    <w:p w14:paraId="6129EA7C" w14:textId="77777777" w:rsidR="00D238DE" w:rsidRDefault="00D238DE" w:rsidP="00C21316">
      <w:pPr>
        <w:ind w:left="720"/>
        <w:contextualSpacing/>
      </w:pPr>
    </w:p>
    <w:p w14:paraId="20158CE9" w14:textId="75159C80" w:rsidR="00D238DE" w:rsidRDefault="00D238DE" w:rsidP="00D238DE">
      <w:r>
        <w:t xml:space="preserve">The first draft of the </w:t>
      </w:r>
      <w:r w:rsidR="007F7906">
        <w:t xml:space="preserve">interpretation </w:t>
      </w:r>
      <w:r>
        <w:t xml:space="preserve">of the Cancun Safeguards within the Ghanaian context, which followed the legal analysis, was completed in March 2017 and has undergone stakeholder review. This clarification is viewed as a more precise and substantive ‘standard’ against which Ghana will report on the extent to which it is ensuring consistency with the Cancun Safeguards during implementation of REDD+ and the GCFRP in Ghana and what the specific terms of the Cancun safeguards mean in the Ghanaian context. </w:t>
      </w:r>
    </w:p>
    <w:p w14:paraId="2FB3FD7A" w14:textId="7902B6EC" w:rsidR="00A013F6" w:rsidRDefault="00D238DE">
      <w:r>
        <w:t xml:space="preserve"> </w:t>
      </w:r>
    </w:p>
    <w:p w14:paraId="75AAFC86" w14:textId="4E7BB671" w:rsidR="004D1524" w:rsidRPr="00F0797D" w:rsidRDefault="004D1524" w:rsidP="004D1524">
      <w:pPr>
        <w:rPr>
          <w:rFonts w:ascii="Calibri" w:hAnsi="Calibri" w:cs="Calibri"/>
          <w:szCs w:val="22"/>
        </w:rPr>
      </w:pPr>
      <w:bookmarkStart w:id="10" w:name="_Hlk521683143"/>
      <w:r>
        <w:rPr>
          <w:rFonts w:ascii="Calibri" w:hAnsi="Calibri" w:cs="Calibri"/>
          <w:szCs w:val="22"/>
        </w:rPr>
        <w:t xml:space="preserve">The Interpretation is presented in tabular format, </w:t>
      </w:r>
      <w:r w:rsidRPr="00F0797D">
        <w:rPr>
          <w:rFonts w:ascii="Calibri" w:hAnsi="Calibri" w:cs="Calibri"/>
          <w:szCs w:val="22"/>
        </w:rPr>
        <w:t>in relation to each of the seven UNFCCC REDD+ safeguards. Each column presents a set of information, as follows:</w:t>
      </w:r>
    </w:p>
    <w:p w14:paraId="3BA6854F" w14:textId="77777777" w:rsidR="004D1524" w:rsidRPr="004D1524" w:rsidRDefault="004D1524" w:rsidP="004D1524">
      <w:pPr>
        <w:rPr>
          <w:rFonts w:ascii="Calibri" w:hAnsi="Calibri" w:cs="Calibri"/>
          <w:sz w:val="20"/>
          <w:szCs w:val="20"/>
        </w:rPr>
      </w:pPr>
    </w:p>
    <w:p w14:paraId="7E54FF70" w14:textId="77777777" w:rsidR="004D1524" w:rsidRPr="004D1524" w:rsidRDefault="004D1524" w:rsidP="0039326F">
      <w:pPr>
        <w:numPr>
          <w:ilvl w:val="0"/>
          <w:numId w:val="20"/>
        </w:numPr>
        <w:rPr>
          <w:rFonts w:ascii="Calibri" w:hAnsi="Calibri" w:cs="Calibri"/>
          <w:sz w:val="20"/>
          <w:szCs w:val="20"/>
        </w:rPr>
      </w:pPr>
      <w:r w:rsidRPr="004D1524">
        <w:rPr>
          <w:rFonts w:ascii="Calibri" w:hAnsi="Calibri" w:cs="Calibri"/>
          <w:sz w:val="20"/>
          <w:szCs w:val="20"/>
        </w:rPr>
        <w:t xml:space="preserve">The first column </w:t>
      </w:r>
      <w:r w:rsidRPr="004D1524">
        <w:rPr>
          <w:rFonts w:ascii="Calibri" w:hAnsi="Calibri" w:cs="Calibri"/>
          <w:b/>
          <w:sz w:val="20"/>
          <w:szCs w:val="20"/>
        </w:rPr>
        <w:t>identifies the 'core clarifying elements'</w:t>
      </w:r>
      <w:r w:rsidRPr="004D1524">
        <w:rPr>
          <w:rFonts w:ascii="Calibri" w:hAnsi="Calibri" w:cs="Calibri"/>
          <w:sz w:val="20"/>
          <w:szCs w:val="20"/>
        </w:rPr>
        <w:t xml:space="preserve"> for each of the UNFCCC REDD+ safeguards;</w:t>
      </w:r>
    </w:p>
    <w:p w14:paraId="1DD8606E" w14:textId="77777777" w:rsidR="004D1524" w:rsidRPr="004D1524" w:rsidRDefault="004D1524" w:rsidP="0039326F">
      <w:pPr>
        <w:numPr>
          <w:ilvl w:val="0"/>
          <w:numId w:val="20"/>
        </w:numPr>
        <w:rPr>
          <w:rFonts w:ascii="Calibri" w:hAnsi="Calibri" w:cs="Calibri"/>
          <w:sz w:val="20"/>
          <w:szCs w:val="20"/>
        </w:rPr>
      </w:pPr>
      <w:r w:rsidRPr="004D1524">
        <w:rPr>
          <w:rFonts w:ascii="Calibri" w:hAnsi="Calibri" w:cs="Calibri"/>
          <w:sz w:val="20"/>
          <w:szCs w:val="20"/>
        </w:rPr>
        <w:t xml:space="preserve">The second column ('legal basis') identifies and justifies </w:t>
      </w:r>
      <w:r w:rsidRPr="004D1524">
        <w:rPr>
          <w:rFonts w:ascii="Calibri" w:hAnsi="Calibri" w:cs="Calibri"/>
          <w:b/>
          <w:sz w:val="20"/>
          <w:szCs w:val="20"/>
        </w:rPr>
        <w:t>how each of the core elements are recognized, protected or promoted by the relevant PLRs in the country</w:t>
      </w:r>
      <w:r w:rsidRPr="004D1524">
        <w:rPr>
          <w:rFonts w:ascii="Calibri" w:hAnsi="Calibri" w:cs="Calibri"/>
          <w:sz w:val="20"/>
          <w:szCs w:val="20"/>
        </w:rPr>
        <w:t xml:space="preserve">. It is important to note that the information in this column </w:t>
      </w:r>
      <w:r w:rsidRPr="004D1524">
        <w:rPr>
          <w:rFonts w:ascii="Calibri" w:hAnsi="Calibri" w:cs="Calibri"/>
          <w:b/>
          <w:sz w:val="20"/>
          <w:szCs w:val="20"/>
        </w:rPr>
        <w:t>does not</w:t>
      </w:r>
      <w:r w:rsidRPr="004D1524">
        <w:rPr>
          <w:rFonts w:ascii="Calibri" w:hAnsi="Calibri" w:cs="Calibri"/>
          <w:sz w:val="20"/>
          <w:szCs w:val="20"/>
        </w:rPr>
        <w:t xml:space="preserve"> </w:t>
      </w:r>
      <w:r w:rsidRPr="004D1524">
        <w:rPr>
          <w:rFonts w:ascii="Calibri" w:hAnsi="Calibri" w:cs="Calibri"/>
          <w:b/>
          <w:sz w:val="20"/>
          <w:szCs w:val="20"/>
        </w:rPr>
        <w:t>determine 'how' such PLRs will be used/applied</w:t>
      </w:r>
      <w:r w:rsidRPr="004D1524">
        <w:rPr>
          <w:rFonts w:ascii="Calibri" w:hAnsi="Calibri" w:cs="Calibri"/>
          <w:sz w:val="20"/>
          <w:szCs w:val="20"/>
        </w:rPr>
        <w:t xml:space="preserve"> to ensure that the REDD+ actions are carried out consistently with the safeguard/s; and</w:t>
      </w:r>
    </w:p>
    <w:p w14:paraId="39693FF5" w14:textId="1DBFCDA5" w:rsidR="004D1524" w:rsidRDefault="004D1524" w:rsidP="0039326F">
      <w:pPr>
        <w:numPr>
          <w:ilvl w:val="0"/>
          <w:numId w:val="20"/>
        </w:numPr>
        <w:rPr>
          <w:rFonts w:ascii="Calibri" w:hAnsi="Calibri" w:cs="Calibri"/>
          <w:b/>
          <w:sz w:val="20"/>
          <w:szCs w:val="20"/>
        </w:rPr>
        <w:sectPr w:rsidR="004D1524" w:rsidSect="00847229">
          <w:pgSz w:w="11900" w:h="16840"/>
          <w:pgMar w:top="1440" w:right="1440" w:bottom="1440" w:left="1440" w:header="720" w:footer="720" w:gutter="0"/>
          <w:cols w:space="720"/>
          <w:docGrid w:linePitch="360"/>
        </w:sectPr>
      </w:pPr>
      <w:r w:rsidRPr="004D1524">
        <w:rPr>
          <w:rFonts w:ascii="Calibri" w:hAnsi="Calibri" w:cs="Calibri"/>
          <w:sz w:val="20"/>
          <w:szCs w:val="20"/>
        </w:rPr>
        <w:t>The third and final column presents a</w:t>
      </w:r>
      <w:r w:rsidRPr="004D1524">
        <w:rPr>
          <w:rFonts w:ascii="Calibri" w:hAnsi="Calibri" w:cs="Calibri"/>
          <w:b/>
          <w:sz w:val="20"/>
          <w:szCs w:val="20"/>
        </w:rPr>
        <w:t xml:space="preserve"> narrative clarification for each UNFCCC REDD+ safeguard, considering the comb</w:t>
      </w:r>
      <w:r>
        <w:rPr>
          <w:rFonts w:ascii="Calibri" w:hAnsi="Calibri" w:cs="Calibri"/>
          <w:b/>
          <w:sz w:val="20"/>
          <w:szCs w:val="20"/>
        </w:rPr>
        <w:t>ined 'core clarifying elements'</w:t>
      </w:r>
    </w:p>
    <w:p w14:paraId="17750D5D" w14:textId="5F4D7408" w:rsidR="004D1524" w:rsidRPr="004D1524" w:rsidRDefault="004D1524" w:rsidP="004D1524">
      <w:pPr>
        <w:rPr>
          <w:rFonts w:ascii="Calibri" w:hAnsi="Calibri" w:cs="Calibri"/>
          <w:sz w:val="20"/>
          <w:szCs w:val="20"/>
        </w:rPr>
      </w:pPr>
    </w:p>
    <w:p w14:paraId="008E5BD1" w14:textId="77777777" w:rsidR="004D1524" w:rsidRPr="00F0797D" w:rsidRDefault="004D1524" w:rsidP="004D1524">
      <w:pPr>
        <w:rPr>
          <w:rFonts w:ascii="Calibri" w:hAnsi="Calibri" w:cs="Calibr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6657"/>
        <w:gridCol w:w="3786"/>
      </w:tblGrid>
      <w:tr w:rsidR="004D1524" w:rsidRPr="00F0797D" w14:paraId="27851637" w14:textId="77777777" w:rsidTr="00483E52">
        <w:tc>
          <w:tcPr>
            <w:tcW w:w="5000" w:type="pct"/>
            <w:gridSpan w:val="3"/>
            <w:tcBorders>
              <w:bottom w:val="single" w:sz="4" w:space="0" w:color="auto"/>
            </w:tcBorders>
            <w:shd w:val="clear" w:color="auto" w:fill="E2EFD9"/>
          </w:tcPr>
          <w:p w14:paraId="706508C9" w14:textId="77777777" w:rsidR="004D1524" w:rsidRPr="00F0797D" w:rsidRDefault="004D1524" w:rsidP="00483E52">
            <w:pPr>
              <w:rPr>
                <w:rFonts w:ascii="Calibri" w:hAnsi="Calibri" w:cs="Calibri"/>
                <w:b/>
                <w:szCs w:val="22"/>
              </w:rPr>
            </w:pPr>
          </w:p>
          <w:p w14:paraId="6F0EF922" w14:textId="77777777" w:rsidR="004D1524" w:rsidRPr="00F0797D" w:rsidRDefault="004D1524" w:rsidP="00483E52">
            <w:pPr>
              <w:rPr>
                <w:rFonts w:ascii="Calibri" w:hAnsi="Calibri" w:cs="Calibri"/>
                <w:i/>
                <w:szCs w:val="22"/>
              </w:rPr>
            </w:pPr>
            <w:r w:rsidRPr="00F0797D">
              <w:rPr>
                <w:rFonts w:ascii="Calibri" w:hAnsi="Calibri" w:cs="Calibri"/>
                <w:b/>
                <w:szCs w:val="22"/>
              </w:rPr>
              <w:t>UNFCCC REDD+ Safeguard A:</w:t>
            </w:r>
            <w:r w:rsidRPr="00F0797D">
              <w:rPr>
                <w:rFonts w:ascii="Calibri" w:hAnsi="Calibri" w:cs="Calibri"/>
                <w:szCs w:val="22"/>
              </w:rPr>
              <w:t xml:space="preserve"> ‘</w:t>
            </w:r>
            <w:r w:rsidRPr="00F0797D">
              <w:rPr>
                <w:rFonts w:ascii="Calibri" w:hAnsi="Calibri" w:cs="Calibri"/>
                <w:i/>
                <w:szCs w:val="22"/>
              </w:rPr>
              <w:t>That actions complement or are consistent with the objectives of national forest programmes and relevant international conventions and agreements'</w:t>
            </w:r>
          </w:p>
          <w:p w14:paraId="2C788B4F" w14:textId="77777777" w:rsidR="004D1524" w:rsidRPr="00F0797D" w:rsidRDefault="004D1524" w:rsidP="00483E52">
            <w:pPr>
              <w:pStyle w:val="FootnoteText"/>
              <w:rPr>
                <w:rFonts w:cs="Calibri"/>
                <w:b/>
                <w:sz w:val="22"/>
                <w:szCs w:val="22"/>
              </w:rPr>
            </w:pPr>
          </w:p>
        </w:tc>
      </w:tr>
      <w:tr w:rsidR="004D1524" w:rsidRPr="00F0797D" w14:paraId="601449A4" w14:textId="77777777" w:rsidTr="00483E52">
        <w:tc>
          <w:tcPr>
            <w:tcW w:w="1257" w:type="pct"/>
            <w:tcBorders>
              <w:top w:val="single" w:sz="4" w:space="0" w:color="auto"/>
            </w:tcBorders>
            <w:shd w:val="clear" w:color="auto" w:fill="auto"/>
          </w:tcPr>
          <w:p w14:paraId="37B1FE85" w14:textId="77777777" w:rsidR="004D1524" w:rsidRPr="00F0797D" w:rsidRDefault="004D1524" w:rsidP="00483E52">
            <w:pPr>
              <w:jc w:val="center"/>
              <w:rPr>
                <w:rFonts w:ascii="Calibri" w:hAnsi="Calibri" w:cs="Calibri"/>
                <w:b/>
                <w:szCs w:val="22"/>
                <w:lang w:val="es-ES"/>
              </w:rPr>
            </w:pPr>
            <w:r w:rsidRPr="00F0797D">
              <w:rPr>
                <w:rFonts w:ascii="Calibri" w:hAnsi="Calibri" w:cs="Calibri"/>
                <w:b/>
                <w:szCs w:val="22"/>
                <w:lang w:val="es-ES"/>
              </w:rPr>
              <w:t>Core elements</w:t>
            </w:r>
          </w:p>
        </w:tc>
        <w:tc>
          <w:tcPr>
            <w:tcW w:w="2386" w:type="pct"/>
            <w:tcBorders>
              <w:top w:val="single" w:sz="4" w:space="0" w:color="auto"/>
            </w:tcBorders>
            <w:shd w:val="clear" w:color="auto" w:fill="auto"/>
          </w:tcPr>
          <w:p w14:paraId="427DF32E" w14:textId="77777777" w:rsidR="004D1524" w:rsidRPr="00F0797D" w:rsidRDefault="004D1524" w:rsidP="00483E52">
            <w:pPr>
              <w:jc w:val="center"/>
              <w:rPr>
                <w:rFonts w:ascii="Calibri" w:hAnsi="Calibri" w:cs="Calibri"/>
                <w:b/>
                <w:szCs w:val="22"/>
                <w:lang w:val="es-ES"/>
              </w:rPr>
            </w:pPr>
            <w:r w:rsidRPr="00F0797D">
              <w:rPr>
                <w:rFonts w:ascii="Calibri" w:hAnsi="Calibri" w:cs="Calibri"/>
                <w:b/>
                <w:szCs w:val="22"/>
                <w:lang w:val="es-ES"/>
              </w:rPr>
              <w:t>Legal basis</w:t>
            </w:r>
          </w:p>
        </w:tc>
        <w:tc>
          <w:tcPr>
            <w:tcW w:w="1357" w:type="pct"/>
            <w:tcBorders>
              <w:top w:val="single" w:sz="4" w:space="0" w:color="auto"/>
            </w:tcBorders>
            <w:shd w:val="clear" w:color="auto" w:fill="auto"/>
          </w:tcPr>
          <w:p w14:paraId="74E714C2" w14:textId="77777777" w:rsidR="004D1524" w:rsidRPr="00F0797D" w:rsidRDefault="004D1524" w:rsidP="00483E52">
            <w:pPr>
              <w:jc w:val="center"/>
              <w:rPr>
                <w:rFonts w:ascii="Calibri" w:hAnsi="Calibri" w:cs="Calibri"/>
                <w:b/>
                <w:szCs w:val="22"/>
                <w:lang w:val="es-ES"/>
              </w:rPr>
            </w:pPr>
            <w:r w:rsidRPr="00F0797D">
              <w:rPr>
                <w:rFonts w:ascii="Calibri" w:hAnsi="Calibri" w:cs="Calibri"/>
                <w:b/>
                <w:szCs w:val="22"/>
                <w:lang w:val="es-ES"/>
              </w:rPr>
              <w:t>Narrative Clarification</w:t>
            </w:r>
          </w:p>
        </w:tc>
      </w:tr>
      <w:tr w:rsidR="004D1524" w:rsidRPr="00F0797D" w14:paraId="5E75E2B6" w14:textId="77777777" w:rsidTr="00483E52">
        <w:trPr>
          <w:trHeight w:val="2477"/>
        </w:trPr>
        <w:tc>
          <w:tcPr>
            <w:tcW w:w="1257" w:type="pct"/>
            <w:shd w:val="clear" w:color="auto" w:fill="auto"/>
          </w:tcPr>
          <w:p w14:paraId="0559F977" w14:textId="77777777" w:rsidR="004D1524" w:rsidRPr="00F0797D" w:rsidRDefault="004D1524" w:rsidP="00483E52">
            <w:pPr>
              <w:rPr>
                <w:rFonts w:ascii="Calibri" w:hAnsi="Calibri" w:cs="Calibri"/>
                <w:szCs w:val="22"/>
              </w:rPr>
            </w:pPr>
          </w:p>
          <w:p w14:paraId="67C3F862" w14:textId="77777777" w:rsidR="004D1524" w:rsidRPr="00F0797D" w:rsidRDefault="004D1524" w:rsidP="00483E52">
            <w:pPr>
              <w:rPr>
                <w:rFonts w:ascii="Calibri" w:hAnsi="Calibri" w:cs="Calibri"/>
                <w:szCs w:val="22"/>
              </w:rPr>
            </w:pPr>
            <w:r w:rsidRPr="00F0797D">
              <w:rPr>
                <w:rFonts w:ascii="Calibri" w:hAnsi="Calibri" w:cs="Calibri"/>
                <w:szCs w:val="22"/>
              </w:rPr>
              <w:t xml:space="preserve">A.1. </w:t>
            </w:r>
            <w:r>
              <w:rPr>
                <w:rFonts w:ascii="Calibri" w:hAnsi="Calibri" w:cs="Calibri"/>
                <w:szCs w:val="22"/>
              </w:rPr>
              <w:t>REDD+ is</w:t>
            </w:r>
            <w:r w:rsidRPr="00F0797D">
              <w:rPr>
                <w:rFonts w:ascii="Calibri" w:hAnsi="Calibri" w:cs="Calibri"/>
                <w:szCs w:val="22"/>
              </w:rPr>
              <w:t xml:space="preserve"> consistent with the objectives of national forest programmes </w:t>
            </w:r>
          </w:p>
        </w:tc>
        <w:tc>
          <w:tcPr>
            <w:tcW w:w="2386" w:type="pct"/>
            <w:shd w:val="clear" w:color="auto" w:fill="auto"/>
          </w:tcPr>
          <w:p w14:paraId="641CC39B" w14:textId="77777777" w:rsidR="004D1524" w:rsidRPr="00F0797D" w:rsidRDefault="004D1524" w:rsidP="00483E52">
            <w:pPr>
              <w:rPr>
                <w:rFonts w:ascii="Calibri" w:hAnsi="Calibri" w:cs="Calibri"/>
                <w:color w:val="000000"/>
                <w:szCs w:val="22"/>
              </w:rPr>
            </w:pPr>
          </w:p>
          <w:p w14:paraId="3E8902C0" w14:textId="77777777" w:rsidR="004D1524" w:rsidRPr="00F0797D" w:rsidRDefault="004D1524" w:rsidP="00483E52">
            <w:pPr>
              <w:rPr>
                <w:rFonts w:ascii="Calibri" w:hAnsi="Calibri" w:cs="Calibri"/>
                <w:szCs w:val="22"/>
              </w:rPr>
            </w:pPr>
            <w:r w:rsidRPr="00F0797D">
              <w:rPr>
                <w:rFonts w:ascii="Calibri" w:hAnsi="Calibri" w:cs="Calibri"/>
                <w:szCs w:val="22"/>
              </w:rPr>
              <w:t xml:space="preserve">The Forest and Wildlife Policy (FWP) (2012) is considered to serve as an overarching national forest programme, with the  Forestry Development Master Plan (FDMP) 2016-2036 serving as a guiding policy for the sector. </w:t>
            </w:r>
          </w:p>
        </w:tc>
        <w:tc>
          <w:tcPr>
            <w:tcW w:w="1357" w:type="pct"/>
            <w:vMerge w:val="restart"/>
            <w:shd w:val="clear" w:color="auto" w:fill="auto"/>
          </w:tcPr>
          <w:p w14:paraId="293B59BE" w14:textId="77777777" w:rsidR="004D1524" w:rsidRPr="00F0797D" w:rsidRDefault="004D1524" w:rsidP="00483E52">
            <w:pPr>
              <w:rPr>
                <w:rFonts w:ascii="Calibri" w:hAnsi="Calibri" w:cs="Calibri"/>
                <w:b/>
                <w:szCs w:val="22"/>
              </w:rPr>
            </w:pPr>
            <w:r w:rsidRPr="00F0797D">
              <w:rPr>
                <w:rFonts w:ascii="Calibri" w:hAnsi="Calibri" w:cs="Calibri"/>
                <w:b/>
                <w:szCs w:val="22"/>
              </w:rPr>
              <w:t xml:space="preserve"> </w:t>
            </w:r>
          </w:p>
          <w:p w14:paraId="64EE8744" w14:textId="77777777" w:rsidR="004D1524" w:rsidRPr="00F0797D" w:rsidRDefault="004D1524" w:rsidP="00483E52">
            <w:pPr>
              <w:rPr>
                <w:rFonts w:ascii="Calibri" w:hAnsi="Calibri" w:cs="Calibri"/>
                <w:b/>
                <w:szCs w:val="22"/>
              </w:rPr>
            </w:pPr>
            <w:r w:rsidRPr="00F0797D">
              <w:rPr>
                <w:rFonts w:ascii="Calibri" w:hAnsi="Calibri" w:cs="Calibri"/>
                <w:b/>
                <w:szCs w:val="22"/>
              </w:rPr>
              <w:t>REDD+ interventions are designed in compliance with the objectives of the national forest programmes and consistent to the provisions of the relevant treaties and international conventions Ghana is Party to</w:t>
            </w:r>
          </w:p>
          <w:p w14:paraId="2DC83337" w14:textId="77777777" w:rsidR="004D1524" w:rsidRPr="00F0797D" w:rsidRDefault="004D1524" w:rsidP="00483E52">
            <w:pPr>
              <w:ind w:left="360"/>
              <w:rPr>
                <w:rFonts w:ascii="Calibri" w:hAnsi="Calibri" w:cs="Calibri"/>
                <w:szCs w:val="22"/>
              </w:rPr>
            </w:pPr>
          </w:p>
          <w:p w14:paraId="746193F4" w14:textId="77777777" w:rsidR="004D1524" w:rsidRPr="00F0797D" w:rsidRDefault="004D1524" w:rsidP="00483E52">
            <w:pPr>
              <w:rPr>
                <w:rFonts w:ascii="Calibri" w:hAnsi="Calibri" w:cs="Calibri"/>
                <w:b/>
                <w:szCs w:val="22"/>
              </w:rPr>
            </w:pPr>
          </w:p>
        </w:tc>
      </w:tr>
      <w:tr w:rsidR="004D1524" w:rsidRPr="00F0797D" w14:paraId="4EA297AA" w14:textId="77777777" w:rsidTr="00483E52">
        <w:trPr>
          <w:trHeight w:val="2477"/>
        </w:trPr>
        <w:tc>
          <w:tcPr>
            <w:tcW w:w="1257" w:type="pct"/>
            <w:shd w:val="clear" w:color="auto" w:fill="auto"/>
          </w:tcPr>
          <w:p w14:paraId="6B874FAF" w14:textId="77777777" w:rsidR="004D1524" w:rsidRPr="00F0797D" w:rsidRDefault="004D1524" w:rsidP="00483E52">
            <w:pPr>
              <w:rPr>
                <w:rFonts w:ascii="Calibri" w:hAnsi="Calibri" w:cs="Calibri"/>
                <w:szCs w:val="22"/>
              </w:rPr>
            </w:pPr>
            <w:r w:rsidRPr="00F0797D">
              <w:rPr>
                <w:rFonts w:ascii="Calibri" w:hAnsi="Calibri" w:cs="Calibri"/>
                <w:szCs w:val="22"/>
              </w:rPr>
              <w:t xml:space="preserve">A.2 </w:t>
            </w:r>
            <w:r>
              <w:rPr>
                <w:rFonts w:ascii="Calibri" w:hAnsi="Calibri" w:cs="Calibri"/>
                <w:szCs w:val="22"/>
              </w:rPr>
              <w:t>REDD+</w:t>
            </w:r>
            <w:r w:rsidRPr="00F0797D">
              <w:rPr>
                <w:rFonts w:ascii="Calibri" w:hAnsi="Calibri" w:cs="Calibri"/>
                <w:szCs w:val="22"/>
              </w:rPr>
              <w:t xml:space="preserve"> is consistent with the objectives of relevant and applicable international conventions and agreements</w:t>
            </w:r>
          </w:p>
        </w:tc>
        <w:tc>
          <w:tcPr>
            <w:tcW w:w="2386" w:type="pct"/>
            <w:shd w:val="clear" w:color="auto" w:fill="auto"/>
          </w:tcPr>
          <w:p w14:paraId="4108D82C" w14:textId="77777777" w:rsidR="004D1524" w:rsidRPr="00F0797D" w:rsidRDefault="004D1524" w:rsidP="00483E52">
            <w:pPr>
              <w:rPr>
                <w:rFonts w:ascii="Calibri" w:hAnsi="Calibri" w:cs="Calibri"/>
                <w:szCs w:val="22"/>
              </w:rPr>
            </w:pPr>
          </w:p>
          <w:p w14:paraId="0B59E388" w14:textId="77777777" w:rsidR="004D1524" w:rsidRPr="00F0797D" w:rsidRDefault="004D1524" w:rsidP="00483E52">
            <w:pPr>
              <w:rPr>
                <w:rFonts w:ascii="Calibri" w:hAnsi="Calibri" w:cs="Calibri"/>
                <w:szCs w:val="22"/>
              </w:rPr>
            </w:pPr>
            <w:r w:rsidRPr="00F0797D">
              <w:rPr>
                <w:rFonts w:ascii="Calibri" w:hAnsi="Calibri" w:cs="Calibri"/>
                <w:szCs w:val="22"/>
              </w:rPr>
              <w:t xml:space="preserve">The legal framework in Ghana allows for conventions and agreements through incorporation of international law </w:t>
            </w:r>
            <w:r w:rsidRPr="00F0797D">
              <w:rPr>
                <w:rStyle w:val="FootnoteReference"/>
                <w:rFonts w:ascii="Calibri" w:hAnsi="Calibri" w:cs="Calibri"/>
                <w:szCs w:val="22"/>
              </w:rPr>
              <w:footnoteReference w:id="24"/>
            </w:r>
          </w:p>
          <w:p w14:paraId="127AA031" w14:textId="77777777" w:rsidR="004D1524" w:rsidRPr="00F0797D" w:rsidRDefault="004D1524" w:rsidP="00483E52">
            <w:pPr>
              <w:rPr>
                <w:rFonts w:ascii="Calibri" w:hAnsi="Calibri" w:cs="Calibri"/>
                <w:szCs w:val="22"/>
              </w:rPr>
            </w:pPr>
          </w:p>
          <w:p w14:paraId="05602BBB" w14:textId="77777777" w:rsidR="004D1524" w:rsidRPr="00F0797D" w:rsidRDefault="004D1524" w:rsidP="00483E52">
            <w:pPr>
              <w:rPr>
                <w:rFonts w:ascii="Calibri" w:hAnsi="Calibri" w:cs="Calibri"/>
                <w:szCs w:val="22"/>
              </w:rPr>
            </w:pPr>
            <w:r w:rsidRPr="00F0797D">
              <w:rPr>
                <w:rFonts w:ascii="Calibri" w:hAnsi="Calibri" w:cs="Calibri"/>
                <w:szCs w:val="22"/>
              </w:rPr>
              <w:t>Relevant conventions</w:t>
            </w:r>
            <w:r w:rsidRPr="0019554D">
              <w:rPr>
                <w:rFonts w:ascii="Calibri" w:hAnsi="Calibri" w:cs="Calibri"/>
                <w:szCs w:val="22"/>
              </w:rPr>
              <w:t xml:space="preserve"> include</w:t>
            </w:r>
            <w:r w:rsidRPr="00F0797D">
              <w:rPr>
                <w:rFonts w:ascii="Calibri" w:hAnsi="Calibri" w:cs="Calibri"/>
                <w:szCs w:val="22"/>
              </w:rPr>
              <w:t xml:space="preserve">: </w:t>
            </w:r>
          </w:p>
          <w:p w14:paraId="557A53B0" w14:textId="77777777" w:rsidR="004D1524" w:rsidRPr="00F0797D" w:rsidRDefault="004D1524" w:rsidP="0039326F">
            <w:pPr>
              <w:numPr>
                <w:ilvl w:val="0"/>
                <w:numId w:val="22"/>
              </w:numPr>
              <w:jc w:val="left"/>
              <w:rPr>
                <w:rFonts w:ascii="Calibri" w:hAnsi="Calibri" w:cs="Calibri"/>
                <w:szCs w:val="22"/>
              </w:rPr>
            </w:pPr>
            <w:r w:rsidRPr="00F0797D">
              <w:rPr>
                <w:rFonts w:ascii="Calibri" w:hAnsi="Calibri" w:cs="Calibri"/>
                <w:szCs w:val="22"/>
              </w:rPr>
              <w:t>Convention on Biological Diversity (CBD) (1992)</w:t>
            </w:r>
            <w:r w:rsidRPr="00F0797D">
              <w:rPr>
                <w:rStyle w:val="FootnoteReference"/>
                <w:rFonts w:ascii="Calibri" w:hAnsi="Calibri" w:cs="Calibri"/>
                <w:szCs w:val="22"/>
              </w:rPr>
              <w:footnoteReference w:id="25"/>
            </w:r>
          </w:p>
          <w:p w14:paraId="50E96DF7" w14:textId="77777777" w:rsidR="004D1524" w:rsidRPr="00F0797D" w:rsidRDefault="004D1524" w:rsidP="0039326F">
            <w:pPr>
              <w:numPr>
                <w:ilvl w:val="0"/>
                <w:numId w:val="22"/>
              </w:numPr>
              <w:jc w:val="left"/>
              <w:rPr>
                <w:rFonts w:ascii="Calibri" w:hAnsi="Calibri" w:cs="Calibri"/>
                <w:szCs w:val="22"/>
              </w:rPr>
            </w:pPr>
            <w:r w:rsidRPr="00F0797D">
              <w:rPr>
                <w:rFonts w:ascii="Calibri" w:hAnsi="Calibri" w:cs="Calibri"/>
                <w:szCs w:val="22"/>
              </w:rPr>
              <w:t>Cartagena Protocol on Biosafety to the Convention on Biological Diversity</w:t>
            </w:r>
            <w:r w:rsidRPr="00F0797D">
              <w:rPr>
                <w:rStyle w:val="FootnoteReference"/>
                <w:rFonts w:ascii="Calibri" w:hAnsi="Calibri" w:cs="Calibri"/>
                <w:szCs w:val="22"/>
              </w:rPr>
              <w:footnoteReference w:id="26"/>
            </w:r>
          </w:p>
          <w:p w14:paraId="262C6D35" w14:textId="77777777" w:rsidR="004D1524" w:rsidRPr="00F0797D" w:rsidRDefault="004D1524" w:rsidP="0039326F">
            <w:pPr>
              <w:numPr>
                <w:ilvl w:val="0"/>
                <w:numId w:val="22"/>
              </w:numPr>
              <w:jc w:val="left"/>
              <w:rPr>
                <w:rFonts w:ascii="Calibri" w:hAnsi="Calibri" w:cs="Calibri"/>
                <w:szCs w:val="22"/>
              </w:rPr>
            </w:pPr>
            <w:r w:rsidRPr="00F0797D">
              <w:rPr>
                <w:rFonts w:ascii="Calibri" w:hAnsi="Calibri" w:cs="Calibri"/>
                <w:szCs w:val="22"/>
              </w:rPr>
              <w:t>Convention on the Elimination of all forms of Racial Discrimination</w:t>
            </w:r>
            <w:r w:rsidRPr="00F0797D">
              <w:rPr>
                <w:rStyle w:val="FootnoteReference"/>
                <w:rFonts w:ascii="Calibri" w:hAnsi="Calibri" w:cs="Calibri"/>
                <w:szCs w:val="22"/>
              </w:rPr>
              <w:footnoteReference w:id="27"/>
            </w:r>
          </w:p>
          <w:p w14:paraId="116640E1" w14:textId="77777777" w:rsidR="004D1524" w:rsidRPr="00F0797D" w:rsidRDefault="004D1524" w:rsidP="0039326F">
            <w:pPr>
              <w:numPr>
                <w:ilvl w:val="0"/>
                <w:numId w:val="22"/>
              </w:numPr>
              <w:jc w:val="left"/>
              <w:rPr>
                <w:rFonts w:ascii="Calibri" w:hAnsi="Calibri" w:cs="Calibri"/>
                <w:szCs w:val="22"/>
              </w:rPr>
            </w:pPr>
            <w:r w:rsidRPr="00F0797D">
              <w:rPr>
                <w:rFonts w:ascii="Calibri" w:hAnsi="Calibri" w:cs="Calibri"/>
                <w:szCs w:val="22"/>
              </w:rPr>
              <w:t>Convention on the Elimination of All Forms of Discrimination against Women</w:t>
            </w:r>
            <w:r w:rsidRPr="00F0797D">
              <w:rPr>
                <w:rStyle w:val="FootnoteReference"/>
                <w:rFonts w:ascii="Calibri" w:hAnsi="Calibri" w:cs="Calibri"/>
                <w:szCs w:val="22"/>
              </w:rPr>
              <w:footnoteReference w:id="28"/>
            </w:r>
          </w:p>
          <w:p w14:paraId="1AD3BB2D" w14:textId="77777777" w:rsidR="004D1524" w:rsidRPr="00F0797D" w:rsidRDefault="004D1524" w:rsidP="0039326F">
            <w:pPr>
              <w:numPr>
                <w:ilvl w:val="0"/>
                <w:numId w:val="22"/>
              </w:numPr>
              <w:jc w:val="left"/>
              <w:rPr>
                <w:rFonts w:ascii="Calibri" w:hAnsi="Calibri" w:cs="Calibri"/>
                <w:szCs w:val="22"/>
              </w:rPr>
            </w:pPr>
            <w:r w:rsidRPr="00F0797D">
              <w:rPr>
                <w:rFonts w:ascii="Calibri" w:hAnsi="Calibri" w:cs="Calibri"/>
                <w:szCs w:val="22"/>
              </w:rPr>
              <w:lastRenderedPageBreak/>
              <w:t xml:space="preserve">Convention on the Rights of the Child </w:t>
            </w:r>
            <w:r w:rsidRPr="00F0797D">
              <w:rPr>
                <w:rStyle w:val="FootnoteReference"/>
                <w:rFonts w:ascii="Calibri" w:hAnsi="Calibri" w:cs="Calibri"/>
                <w:szCs w:val="22"/>
              </w:rPr>
              <w:footnoteReference w:id="29"/>
            </w:r>
          </w:p>
          <w:p w14:paraId="47C0731B" w14:textId="77777777" w:rsidR="004D1524" w:rsidRPr="00F0797D" w:rsidRDefault="004D1524" w:rsidP="0039326F">
            <w:pPr>
              <w:numPr>
                <w:ilvl w:val="0"/>
                <w:numId w:val="22"/>
              </w:numPr>
              <w:tabs>
                <w:tab w:val="left" w:pos="142"/>
              </w:tabs>
              <w:ind w:right="288"/>
              <w:contextualSpacing/>
              <w:rPr>
                <w:rFonts w:ascii="Calibri" w:hAnsi="Calibri" w:cs="Calibri"/>
                <w:szCs w:val="22"/>
              </w:rPr>
            </w:pPr>
            <w:r w:rsidRPr="00F0797D">
              <w:rPr>
                <w:rFonts w:ascii="Calibri" w:hAnsi="Calibri" w:cs="Calibri"/>
                <w:szCs w:val="22"/>
              </w:rPr>
              <w:t>Convention on International Trade in Endangered Species of Wild Fauna and Flora (CITES) (1973</w:t>
            </w:r>
            <w:r w:rsidRPr="00F0797D">
              <w:rPr>
                <w:rStyle w:val="FootnoteReference"/>
                <w:rFonts w:ascii="Calibri" w:hAnsi="Calibri" w:cs="Calibri"/>
                <w:szCs w:val="22"/>
              </w:rPr>
              <w:footnoteReference w:id="30"/>
            </w:r>
          </w:p>
          <w:p w14:paraId="3D0CB0C5" w14:textId="77777777" w:rsidR="004D1524" w:rsidRPr="00F0797D" w:rsidRDefault="004D1524" w:rsidP="0039326F">
            <w:pPr>
              <w:numPr>
                <w:ilvl w:val="0"/>
                <w:numId w:val="22"/>
              </w:numPr>
              <w:tabs>
                <w:tab w:val="left" w:pos="142"/>
              </w:tabs>
              <w:ind w:right="288"/>
              <w:contextualSpacing/>
              <w:rPr>
                <w:rFonts w:ascii="Calibri" w:hAnsi="Calibri" w:cs="Calibri"/>
                <w:szCs w:val="22"/>
              </w:rPr>
            </w:pPr>
            <w:r w:rsidRPr="00F0797D">
              <w:rPr>
                <w:rFonts w:ascii="Calibri" w:hAnsi="Calibri" w:cs="Calibri"/>
                <w:szCs w:val="22"/>
              </w:rPr>
              <w:t>Convention on Wetlands of International Importance, especially as Waterfowl Habitat (RAMSAR) (1971).</w:t>
            </w:r>
            <w:r w:rsidRPr="00F0797D">
              <w:rPr>
                <w:rStyle w:val="FootnoteReference"/>
                <w:rFonts w:ascii="Calibri" w:hAnsi="Calibri" w:cs="Calibri"/>
                <w:szCs w:val="22"/>
              </w:rPr>
              <w:footnoteReference w:id="31"/>
            </w:r>
          </w:p>
          <w:p w14:paraId="2AE646DD" w14:textId="77777777" w:rsidR="004D1524" w:rsidRPr="00F0797D" w:rsidRDefault="004D1524" w:rsidP="0039326F">
            <w:pPr>
              <w:numPr>
                <w:ilvl w:val="0"/>
                <w:numId w:val="22"/>
              </w:numPr>
              <w:jc w:val="left"/>
              <w:rPr>
                <w:rFonts w:ascii="Calibri" w:hAnsi="Calibri" w:cs="Calibri"/>
                <w:szCs w:val="22"/>
              </w:rPr>
            </w:pPr>
            <w:r w:rsidRPr="00F0797D">
              <w:rPr>
                <w:rFonts w:ascii="Calibri" w:hAnsi="Calibri" w:cs="Calibri"/>
                <w:szCs w:val="22"/>
              </w:rPr>
              <w:t>International Covenant on Civil and Political Rights (ICCPR) (1966)</w:t>
            </w:r>
            <w:r w:rsidRPr="00F0797D">
              <w:rPr>
                <w:rStyle w:val="FootnoteReference"/>
                <w:rFonts w:ascii="Calibri" w:hAnsi="Calibri" w:cs="Calibri"/>
                <w:szCs w:val="22"/>
              </w:rPr>
              <w:footnoteReference w:id="32"/>
            </w:r>
          </w:p>
          <w:p w14:paraId="5F396932" w14:textId="77777777" w:rsidR="004D1524" w:rsidRPr="00F0797D" w:rsidRDefault="004D1524" w:rsidP="0039326F">
            <w:pPr>
              <w:numPr>
                <w:ilvl w:val="0"/>
                <w:numId w:val="22"/>
              </w:numPr>
              <w:tabs>
                <w:tab w:val="left" w:pos="142"/>
              </w:tabs>
              <w:ind w:right="288"/>
              <w:contextualSpacing/>
              <w:rPr>
                <w:rFonts w:ascii="Calibri" w:hAnsi="Calibri" w:cs="Calibri"/>
                <w:szCs w:val="22"/>
              </w:rPr>
            </w:pPr>
            <w:r w:rsidRPr="00F0797D">
              <w:rPr>
                <w:rFonts w:ascii="Calibri" w:hAnsi="Calibri" w:cs="Calibri"/>
                <w:szCs w:val="22"/>
              </w:rPr>
              <w:t>International Covenant on Economic, Social and Cultural Rights (ICESCR) (1966)</w:t>
            </w:r>
            <w:r w:rsidRPr="00F0797D">
              <w:rPr>
                <w:rFonts w:ascii="Calibri" w:eastAsia="Times New Roman" w:hAnsi="Calibri" w:cs="Calibri"/>
                <w:color w:val="000000"/>
                <w:szCs w:val="22"/>
                <w:shd w:val="clear" w:color="auto" w:fill="FFFFFF"/>
              </w:rPr>
              <w:t>.</w:t>
            </w:r>
            <w:r w:rsidRPr="00F0797D">
              <w:rPr>
                <w:rStyle w:val="FootnoteReference"/>
                <w:rFonts w:ascii="Calibri" w:eastAsia="Times New Roman" w:hAnsi="Calibri" w:cs="Calibri"/>
                <w:color w:val="000000"/>
                <w:szCs w:val="22"/>
                <w:shd w:val="clear" w:color="auto" w:fill="FFFFFF"/>
              </w:rPr>
              <w:footnoteReference w:id="33"/>
            </w:r>
          </w:p>
          <w:p w14:paraId="388585FF" w14:textId="77777777" w:rsidR="004D1524" w:rsidRPr="00F0797D" w:rsidRDefault="004D1524" w:rsidP="0039326F">
            <w:pPr>
              <w:numPr>
                <w:ilvl w:val="0"/>
                <w:numId w:val="22"/>
              </w:numPr>
              <w:tabs>
                <w:tab w:val="left" w:pos="142"/>
              </w:tabs>
              <w:ind w:right="288"/>
              <w:contextualSpacing/>
              <w:rPr>
                <w:rFonts w:ascii="Calibri" w:hAnsi="Calibri" w:cs="Calibri"/>
                <w:szCs w:val="22"/>
              </w:rPr>
            </w:pPr>
            <w:r w:rsidRPr="00F0797D">
              <w:rPr>
                <w:rFonts w:ascii="Calibri" w:hAnsi="Calibri" w:cs="Calibri"/>
                <w:szCs w:val="22"/>
              </w:rPr>
              <w:t>UNESCO Convention Concerning the Protection of the World Cultural and Natural Heritage (1972)</w:t>
            </w:r>
            <w:r w:rsidRPr="00F0797D">
              <w:rPr>
                <w:rFonts w:ascii="Calibri" w:eastAsia="Times New Roman" w:hAnsi="Calibri" w:cs="Calibri"/>
                <w:color w:val="000000"/>
                <w:szCs w:val="22"/>
                <w:shd w:val="clear" w:color="auto" w:fill="FFFFFF"/>
              </w:rPr>
              <w:t>.</w:t>
            </w:r>
            <w:r w:rsidRPr="00F0797D">
              <w:rPr>
                <w:rStyle w:val="FootnoteReference"/>
                <w:rFonts w:ascii="Calibri" w:eastAsia="Times New Roman" w:hAnsi="Calibri" w:cs="Calibri"/>
                <w:color w:val="000000"/>
                <w:szCs w:val="22"/>
                <w:shd w:val="clear" w:color="auto" w:fill="FFFFFF"/>
              </w:rPr>
              <w:footnoteReference w:id="34"/>
            </w:r>
          </w:p>
          <w:p w14:paraId="75725183" w14:textId="77777777" w:rsidR="004D1524" w:rsidRPr="00F0797D" w:rsidRDefault="004D1524" w:rsidP="0039326F">
            <w:pPr>
              <w:numPr>
                <w:ilvl w:val="0"/>
                <w:numId w:val="22"/>
              </w:numPr>
              <w:tabs>
                <w:tab w:val="left" w:pos="142"/>
              </w:tabs>
              <w:ind w:right="288"/>
              <w:contextualSpacing/>
              <w:rPr>
                <w:rFonts w:ascii="Calibri" w:hAnsi="Calibri" w:cs="Calibri"/>
                <w:szCs w:val="22"/>
              </w:rPr>
            </w:pPr>
            <w:r w:rsidRPr="00F0797D">
              <w:rPr>
                <w:rFonts w:ascii="Calibri" w:hAnsi="Calibri" w:cs="Calibri"/>
                <w:szCs w:val="22"/>
              </w:rPr>
              <w:t>United Nations Convention to Combat Desertification (UNCCD) (1994)</w:t>
            </w:r>
            <w:r w:rsidRPr="00F0797D">
              <w:rPr>
                <w:rStyle w:val="FootnoteReference"/>
                <w:rFonts w:ascii="Calibri" w:hAnsi="Calibri" w:cs="Calibri"/>
                <w:szCs w:val="22"/>
              </w:rPr>
              <w:footnoteReference w:id="35"/>
            </w:r>
          </w:p>
          <w:p w14:paraId="3DAE128A" w14:textId="77777777" w:rsidR="004D1524" w:rsidRPr="00F0797D" w:rsidRDefault="004D1524" w:rsidP="00483E52">
            <w:pPr>
              <w:ind w:left="720"/>
              <w:rPr>
                <w:rFonts w:ascii="Calibri" w:hAnsi="Calibri" w:cs="Calibri"/>
                <w:szCs w:val="22"/>
              </w:rPr>
            </w:pPr>
          </w:p>
        </w:tc>
        <w:tc>
          <w:tcPr>
            <w:tcW w:w="1357" w:type="pct"/>
            <w:vMerge/>
            <w:shd w:val="clear" w:color="auto" w:fill="auto"/>
          </w:tcPr>
          <w:p w14:paraId="5A0A0D06" w14:textId="77777777" w:rsidR="004D1524" w:rsidRPr="00F0797D" w:rsidRDefault="004D1524" w:rsidP="00483E52">
            <w:pPr>
              <w:rPr>
                <w:rFonts w:ascii="Calibri" w:hAnsi="Calibri" w:cs="Calibri"/>
                <w:i/>
                <w:szCs w:val="22"/>
              </w:rPr>
            </w:pPr>
          </w:p>
        </w:tc>
      </w:tr>
    </w:tbl>
    <w:p w14:paraId="4EA13198" w14:textId="77777777" w:rsidR="004D1524" w:rsidRPr="00F0797D" w:rsidRDefault="004D1524" w:rsidP="004D1524">
      <w:pPr>
        <w:rPr>
          <w:rFonts w:ascii="Calibri" w:hAnsi="Calibri" w:cs="Calibri"/>
          <w:i/>
          <w:szCs w:val="22"/>
        </w:rPr>
      </w:pPr>
    </w:p>
    <w:p w14:paraId="18F87015" w14:textId="77777777" w:rsidR="004D1524" w:rsidRPr="00F0797D" w:rsidRDefault="004D1524" w:rsidP="004D1524">
      <w:pPr>
        <w:rPr>
          <w:rFonts w:ascii="Calibri" w:hAnsi="Calibri" w:cs="Calibri"/>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6657"/>
        <w:gridCol w:w="3786"/>
      </w:tblGrid>
      <w:tr w:rsidR="004D1524" w:rsidRPr="00F0797D" w14:paraId="5BC4E8E8" w14:textId="77777777" w:rsidTr="00483E52">
        <w:tc>
          <w:tcPr>
            <w:tcW w:w="5000" w:type="pct"/>
            <w:gridSpan w:val="3"/>
            <w:shd w:val="clear" w:color="auto" w:fill="E2EFD9"/>
          </w:tcPr>
          <w:p w14:paraId="0DF0A3A2" w14:textId="77777777" w:rsidR="004D1524" w:rsidRPr="00F0797D" w:rsidRDefault="004D1524" w:rsidP="00483E52">
            <w:pPr>
              <w:rPr>
                <w:rFonts w:ascii="Calibri" w:hAnsi="Calibri" w:cs="Calibri"/>
                <w:b/>
                <w:szCs w:val="22"/>
              </w:rPr>
            </w:pPr>
          </w:p>
          <w:p w14:paraId="63C234B2" w14:textId="77777777" w:rsidR="004D1524" w:rsidRPr="00F0797D" w:rsidRDefault="004D1524" w:rsidP="00483E52">
            <w:pPr>
              <w:rPr>
                <w:rFonts w:ascii="Calibri" w:hAnsi="Calibri" w:cs="Calibri"/>
                <w:b/>
                <w:szCs w:val="22"/>
              </w:rPr>
            </w:pPr>
            <w:r w:rsidRPr="00F0797D">
              <w:rPr>
                <w:rFonts w:ascii="Calibri" w:hAnsi="Calibri" w:cs="Calibri"/>
                <w:b/>
                <w:szCs w:val="22"/>
              </w:rPr>
              <w:t>UNFCCC REDD+ Safeguard B:</w:t>
            </w:r>
            <w:r w:rsidRPr="00F0797D">
              <w:rPr>
                <w:rFonts w:ascii="Calibri" w:hAnsi="Calibri" w:cs="Calibri"/>
                <w:szCs w:val="22"/>
              </w:rPr>
              <w:t xml:space="preserve"> ‘</w:t>
            </w:r>
            <w:r w:rsidRPr="00F0797D">
              <w:rPr>
                <w:rFonts w:ascii="Calibri" w:hAnsi="Calibri" w:cs="Calibri"/>
                <w:b/>
                <w:szCs w:val="22"/>
              </w:rPr>
              <w:t>Transparent and effective national forest governance structures, taking into account national legislation and sovereignty;'</w:t>
            </w:r>
          </w:p>
          <w:p w14:paraId="2C6C8F5F" w14:textId="77777777" w:rsidR="004D1524" w:rsidRPr="00F0797D" w:rsidRDefault="004D1524" w:rsidP="00483E52">
            <w:pPr>
              <w:rPr>
                <w:rFonts w:ascii="Calibri" w:hAnsi="Calibri" w:cs="Calibri"/>
                <w:b/>
                <w:szCs w:val="22"/>
              </w:rPr>
            </w:pPr>
          </w:p>
        </w:tc>
      </w:tr>
      <w:tr w:rsidR="004D1524" w:rsidRPr="00F0797D" w14:paraId="6527E066" w14:textId="77777777" w:rsidTr="00483E52">
        <w:trPr>
          <w:trHeight w:val="296"/>
        </w:trPr>
        <w:tc>
          <w:tcPr>
            <w:tcW w:w="1257" w:type="pct"/>
            <w:shd w:val="clear" w:color="auto" w:fill="auto"/>
            <w:vAlign w:val="center"/>
          </w:tcPr>
          <w:p w14:paraId="2C27EB5E" w14:textId="77777777" w:rsidR="004D1524" w:rsidRPr="00F0797D" w:rsidRDefault="004D1524" w:rsidP="00483E52">
            <w:pPr>
              <w:jc w:val="center"/>
              <w:rPr>
                <w:rFonts w:ascii="Calibri" w:hAnsi="Calibri" w:cs="Calibri"/>
                <w:b/>
                <w:szCs w:val="22"/>
                <w:lang w:val="es-ES"/>
              </w:rPr>
            </w:pPr>
            <w:r w:rsidRPr="00F0797D">
              <w:rPr>
                <w:rFonts w:ascii="Calibri" w:hAnsi="Calibri" w:cs="Calibri"/>
                <w:b/>
                <w:szCs w:val="22"/>
                <w:lang w:val="es-ES"/>
              </w:rPr>
              <w:t>Core elements</w:t>
            </w:r>
          </w:p>
        </w:tc>
        <w:tc>
          <w:tcPr>
            <w:tcW w:w="2386" w:type="pct"/>
            <w:shd w:val="clear" w:color="auto" w:fill="auto"/>
            <w:vAlign w:val="center"/>
          </w:tcPr>
          <w:p w14:paraId="127D3BE2" w14:textId="77777777" w:rsidR="004D1524" w:rsidRPr="00F0797D" w:rsidRDefault="004D1524" w:rsidP="00483E52">
            <w:pPr>
              <w:jc w:val="center"/>
              <w:rPr>
                <w:rFonts w:ascii="Calibri" w:hAnsi="Calibri" w:cs="Calibri"/>
                <w:b/>
                <w:szCs w:val="22"/>
                <w:lang w:val="es-ES"/>
              </w:rPr>
            </w:pPr>
            <w:r w:rsidRPr="00F0797D">
              <w:rPr>
                <w:rFonts w:ascii="Calibri" w:hAnsi="Calibri" w:cs="Calibri"/>
                <w:b/>
                <w:szCs w:val="22"/>
                <w:lang w:val="es-ES"/>
              </w:rPr>
              <w:t>Legal basis</w:t>
            </w:r>
            <w:r w:rsidRPr="00F0797D">
              <w:rPr>
                <w:rFonts w:ascii="Calibri" w:hAnsi="Calibri" w:cs="Calibri"/>
                <w:i/>
                <w:szCs w:val="22"/>
                <w:lang w:val="es-ES"/>
              </w:rPr>
              <w:t xml:space="preserve"> </w:t>
            </w:r>
          </w:p>
        </w:tc>
        <w:tc>
          <w:tcPr>
            <w:tcW w:w="1357" w:type="pct"/>
            <w:shd w:val="clear" w:color="auto" w:fill="auto"/>
          </w:tcPr>
          <w:p w14:paraId="696F128F" w14:textId="77777777" w:rsidR="004D1524" w:rsidRPr="00F0797D" w:rsidRDefault="004D1524" w:rsidP="00483E52">
            <w:pPr>
              <w:jc w:val="center"/>
              <w:rPr>
                <w:rFonts w:ascii="Calibri" w:hAnsi="Calibri" w:cs="Calibri"/>
                <w:b/>
                <w:szCs w:val="22"/>
                <w:lang w:val="es-ES"/>
              </w:rPr>
            </w:pPr>
            <w:r w:rsidRPr="00F0797D">
              <w:rPr>
                <w:rFonts w:ascii="Calibri" w:hAnsi="Calibri" w:cs="Calibri"/>
                <w:b/>
                <w:szCs w:val="22"/>
                <w:lang w:val="es-ES"/>
              </w:rPr>
              <w:t>Narrative Clarification</w:t>
            </w:r>
          </w:p>
        </w:tc>
      </w:tr>
      <w:tr w:rsidR="004D1524" w:rsidRPr="00F0797D" w14:paraId="56469927" w14:textId="77777777" w:rsidTr="00483E52">
        <w:tc>
          <w:tcPr>
            <w:tcW w:w="1257" w:type="pct"/>
            <w:shd w:val="clear" w:color="auto" w:fill="auto"/>
            <w:vAlign w:val="center"/>
          </w:tcPr>
          <w:p w14:paraId="45D88AD6" w14:textId="77777777" w:rsidR="004D1524" w:rsidRPr="00F0797D" w:rsidRDefault="004D1524" w:rsidP="00483E52">
            <w:pPr>
              <w:rPr>
                <w:rFonts w:ascii="Calibri" w:hAnsi="Calibri" w:cs="Calibri"/>
                <w:szCs w:val="22"/>
              </w:rPr>
            </w:pPr>
            <w:r w:rsidRPr="00F0797D">
              <w:rPr>
                <w:rFonts w:ascii="Calibri" w:hAnsi="Calibri" w:cs="Calibri"/>
                <w:szCs w:val="22"/>
              </w:rPr>
              <w:t xml:space="preserve">B.1. Right of access information is recognised and regulated in the context of the implementation of REDD+ </w:t>
            </w:r>
          </w:p>
          <w:p w14:paraId="1F530F28" w14:textId="77777777" w:rsidR="004D1524" w:rsidRPr="00F0797D" w:rsidRDefault="004D1524" w:rsidP="00483E52">
            <w:pPr>
              <w:rPr>
                <w:rFonts w:ascii="Calibri" w:hAnsi="Calibri" w:cs="Calibri"/>
                <w:szCs w:val="22"/>
              </w:rPr>
            </w:pPr>
          </w:p>
          <w:p w14:paraId="50793C16" w14:textId="77777777" w:rsidR="004D1524" w:rsidRPr="00F0797D" w:rsidRDefault="004D1524" w:rsidP="00483E52">
            <w:pPr>
              <w:pStyle w:val="ListParagraph"/>
              <w:ind w:left="360"/>
              <w:rPr>
                <w:rFonts w:cs="Calibri"/>
                <w:szCs w:val="22"/>
              </w:rPr>
            </w:pPr>
          </w:p>
        </w:tc>
        <w:tc>
          <w:tcPr>
            <w:tcW w:w="2386" w:type="pct"/>
            <w:tcBorders>
              <w:bottom w:val="single" w:sz="4" w:space="0" w:color="auto"/>
            </w:tcBorders>
            <w:shd w:val="clear" w:color="auto" w:fill="auto"/>
          </w:tcPr>
          <w:p w14:paraId="5602E791" w14:textId="77777777" w:rsidR="004D1524" w:rsidRPr="00F0797D" w:rsidRDefault="004D1524" w:rsidP="00483E52">
            <w:pPr>
              <w:rPr>
                <w:rFonts w:ascii="Calibri" w:hAnsi="Calibri" w:cs="Calibri"/>
                <w:szCs w:val="22"/>
              </w:rPr>
            </w:pPr>
            <w:r w:rsidRPr="00F0797D">
              <w:rPr>
                <w:rFonts w:ascii="Calibri" w:hAnsi="Calibri" w:cs="Calibri"/>
                <w:szCs w:val="22"/>
              </w:rPr>
              <w:lastRenderedPageBreak/>
              <w:t>The right to information in Ghana, is recognised in the Constitution</w:t>
            </w:r>
            <w:r w:rsidRPr="00F0797D">
              <w:rPr>
                <w:rStyle w:val="FootnoteReference"/>
                <w:rFonts w:ascii="Calibri" w:hAnsi="Calibri" w:cs="Calibri"/>
                <w:szCs w:val="22"/>
              </w:rPr>
              <w:footnoteReference w:id="36"/>
            </w:r>
            <w:r w:rsidRPr="00F0797D">
              <w:rPr>
                <w:rFonts w:ascii="Calibri" w:hAnsi="Calibri" w:cs="Calibri"/>
                <w:szCs w:val="22"/>
              </w:rPr>
              <w:t>. Ghana’s Legal Framework contains provisions that require the active dissemination of information, including activities of environmental assessments and forestry</w:t>
            </w:r>
            <w:r w:rsidRPr="00F0797D">
              <w:rPr>
                <w:rStyle w:val="FootnoteReference"/>
                <w:rFonts w:ascii="Calibri" w:hAnsi="Calibri" w:cs="Calibri"/>
                <w:szCs w:val="22"/>
              </w:rPr>
              <w:footnoteReference w:id="37"/>
            </w:r>
            <w:r w:rsidRPr="00F0797D">
              <w:rPr>
                <w:rFonts w:ascii="Calibri" w:hAnsi="Calibri" w:cs="Calibri"/>
                <w:szCs w:val="22"/>
              </w:rPr>
              <w:t xml:space="preserve">. </w:t>
            </w:r>
          </w:p>
          <w:p w14:paraId="487A7BC5" w14:textId="77777777" w:rsidR="004D1524" w:rsidRPr="00F0797D" w:rsidRDefault="004D1524" w:rsidP="00483E52">
            <w:pPr>
              <w:rPr>
                <w:rFonts w:ascii="Calibri" w:hAnsi="Calibri" w:cs="Calibri"/>
                <w:szCs w:val="22"/>
              </w:rPr>
            </w:pPr>
            <w:r w:rsidRPr="00F0797D">
              <w:rPr>
                <w:rFonts w:ascii="Calibri" w:hAnsi="Calibri" w:cs="Calibri"/>
                <w:szCs w:val="22"/>
              </w:rPr>
              <w:lastRenderedPageBreak/>
              <w:t xml:space="preserve">The Administration of Lands Act and the Environmental Assessment Regulations contains provisions that define the information that should be shared or disseminated, within the forest/natural resource/land sector. </w:t>
            </w:r>
            <w:r w:rsidRPr="00F0797D">
              <w:rPr>
                <w:rStyle w:val="FootnoteReference"/>
                <w:rFonts w:ascii="Calibri" w:hAnsi="Calibri" w:cs="Calibri"/>
                <w:szCs w:val="22"/>
              </w:rPr>
              <w:footnoteReference w:id="38"/>
            </w:r>
            <w:r w:rsidRPr="00F0797D">
              <w:rPr>
                <w:rFonts w:ascii="Calibri" w:hAnsi="Calibri" w:cs="Calibri"/>
                <w:szCs w:val="22"/>
              </w:rPr>
              <w:t xml:space="preserve"> </w:t>
            </w:r>
          </w:p>
          <w:p w14:paraId="1DEB0318" w14:textId="77777777" w:rsidR="004D1524" w:rsidRPr="00F0797D" w:rsidRDefault="004D1524" w:rsidP="00483E52">
            <w:pPr>
              <w:rPr>
                <w:rFonts w:ascii="Calibri" w:hAnsi="Calibri" w:cs="Calibri"/>
                <w:szCs w:val="22"/>
              </w:rPr>
            </w:pPr>
          </w:p>
          <w:p w14:paraId="5BE270FB" w14:textId="77777777" w:rsidR="004D1524" w:rsidRPr="00F0797D" w:rsidRDefault="004D1524" w:rsidP="00483E52">
            <w:pPr>
              <w:rPr>
                <w:rFonts w:ascii="Calibri" w:hAnsi="Calibri" w:cs="Calibri"/>
                <w:color w:val="FF0000"/>
                <w:szCs w:val="22"/>
              </w:rPr>
            </w:pPr>
          </w:p>
        </w:tc>
        <w:tc>
          <w:tcPr>
            <w:tcW w:w="1357" w:type="pct"/>
            <w:vMerge w:val="restart"/>
            <w:shd w:val="clear" w:color="auto" w:fill="auto"/>
          </w:tcPr>
          <w:p w14:paraId="19152F0B" w14:textId="77777777" w:rsidR="004D1524" w:rsidRPr="00F0797D" w:rsidRDefault="004D1524" w:rsidP="00483E52">
            <w:pPr>
              <w:rPr>
                <w:rFonts w:ascii="Calibri" w:hAnsi="Calibri" w:cs="Calibri"/>
                <w:b/>
                <w:szCs w:val="22"/>
              </w:rPr>
            </w:pPr>
            <w:r w:rsidRPr="00F0797D">
              <w:rPr>
                <w:rFonts w:ascii="Calibri" w:hAnsi="Calibri" w:cs="Calibri"/>
                <w:b/>
                <w:szCs w:val="22"/>
              </w:rPr>
              <w:lastRenderedPageBreak/>
              <w:t xml:space="preserve">Transparency and effectiveness of forest governance structures -  which includes access to information, accountability and rights in land, </w:t>
            </w:r>
            <w:r w:rsidRPr="00F0797D">
              <w:rPr>
                <w:rFonts w:ascii="Calibri" w:hAnsi="Calibri" w:cs="Calibri"/>
                <w:b/>
                <w:szCs w:val="22"/>
              </w:rPr>
              <w:lastRenderedPageBreak/>
              <w:t>distribution of the benefits, support and promotion of gender equality, access to justice, social economic and environmental considerations, and cross sectoral considerations are promoted and regulated throughout the implementation of the REDD+ interventions</w:t>
            </w:r>
          </w:p>
          <w:p w14:paraId="5CBA7503" w14:textId="77777777" w:rsidR="004D1524" w:rsidRPr="00F0797D" w:rsidRDefault="004D1524" w:rsidP="00483E52">
            <w:pPr>
              <w:rPr>
                <w:rFonts w:ascii="Calibri" w:hAnsi="Calibri" w:cs="Calibri"/>
                <w:szCs w:val="22"/>
              </w:rPr>
            </w:pPr>
          </w:p>
          <w:p w14:paraId="7827E0E2" w14:textId="77777777" w:rsidR="004D1524" w:rsidRPr="00F0797D" w:rsidRDefault="004D1524" w:rsidP="00483E52">
            <w:pPr>
              <w:rPr>
                <w:rFonts w:ascii="Calibri" w:hAnsi="Calibri" w:cs="Calibri"/>
                <w:szCs w:val="22"/>
              </w:rPr>
            </w:pPr>
          </w:p>
          <w:p w14:paraId="2CEB346A" w14:textId="77777777" w:rsidR="004D1524" w:rsidRPr="00F0797D" w:rsidRDefault="004D1524" w:rsidP="00483E52">
            <w:pPr>
              <w:rPr>
                <w:rFonts w:ascii="Calibri" w:hAnsi="Calibri" w:cs="Calibri"/>
                <w:szCs w:val="22"/>
              </w:rPr>
            </w:pPr>
          </w:p>
        </w:tc>
      </w:tr>
      <w:tr w:rsidR="004D1524" w:rsidRPr="00F0797D" w14:paraId="73478A73" w14:textId="77777777" w:rsidTr="00483E52">
        <w:tc>
          <w:tcPr>
            <w:tcW w:w="1257" w:type="pct"/>
            <w:shd w:val="clear" w:color="auto" w:fill="auto"/>
            <w:vAlign w:val="center"/>
          </w:tcPr>
          <w:p w14:paraId="6D6E546B" w14:textId="77777777" w:rsidR="004D1524" w:rsidRPr="00F0797D" w:rsidRDefault="004D1524" w:rsidP="00483E52">
            <w:pPr>
              <w:rPr>
                <w:rFonts w:ascii="Calibri" w:hAnsi="Calibri" w:cs="Calibri"/>
                <w:szCs w:val="22"/>
              </w:rPr>
            </w:pPr>
          </w:p>
          <w:p w14:paraId="3CA97240" w14:textId="77777777" w:rsidR="004D1524" w:rsidRPr="00F0797D" w:rsidRDefault="004D1524" w:rsidP="00483E52">
            <w:pPr>
              <w:rPr>
                <w:rFonts w:ascii="Calibri" w:hAnsi="Calibri" w:cs="Calibri"/>
                <w:szCs w:val="22"/>
              </w:rPr>
            </w:pPr>
            <w:r w:rsidRPr="00F0797D">
              <w:rPr>
                <w:rFonts w:ascii="Calibri" w:hAnsi="Calibri" w:cs="Calibri"/>
                <w:szCs w:val="22"/>
              </w:rPr>
              <w:t xml:space="preserve">B.2 Accountability of civil servants and public budgets is guaranteed throughout the implementation of </w:t>
            </w:r>
            <w:r>
              <w:rPr>
                <w:rFonts w:ascii="Calibri" w:hAnsi="Calibri" w:cs="Calibri"/>
                <w:szCs w:val="22"/>
              </w:rPr>
              <w:t>REDD+</w:t>
            </w:r>
          </w:p>
          <w:p w14:paraId="4B90D1F3" w14:textId="77777777" w:rsidR="004D1524" w:rsidRPr="00F0797D" w:rsidRDefault="004D1524" w:rsidP="00483E52">
            <w:pPr>
              <w:rPr>
                <w:rFonts w:ascii="Calibri" w:hAnsi="Calibri" w:cs="Calibri"/>
                <w:szCs w:val="22"/>
              </w:rPr>
            </w:pPr>
          </w:p>
          <w:p w14:paraId="0DD322CF" w14:textId="77777777" w:rsidR="004D1524" w:rsidRPr="00F0797D" w:rsidRDefault="004D1524" w:rsidP="00483E52">
            <w:pPr>
              <w:rPr>
                <w:rFonts w:ascii="Calibri" w:hAnsi="Calibri" w:cs="Calibri"/>
                <w:szCs w:val="22"/>
              </w:rPr>
            </w:pPr>
          </w:p>
        </w:tc>
        <w:tc>
          <w:tcPr>
            <w:tcW w:w="2386" w:type="pct"/>
            <w:tcBorders>
              <w:bottom w:val="single" w:sz="4" w:space="0" w:color="auto"/>
            </w:tcBorders>
            <w:shd w:val="clear" w:color="auto" w:fill="auto"/>
          </w:tcPr>
          <w:p w14:paraId="77EB1645" w14:textId="77777777" w:rsidR="004D1524" w:rsidRPr="00F0797D" w:rsidRDefault="004D1524" w:rsidP="00483E52">
            <w:pPr>
              <w:rPr>
                <w:rFonts w:ascii="Calibri" w:hAnsi="Calibri" w:cs="Calibri"/>
                <w:szCs w:val="22"/>
              </w:rPr>
            </w:pPr>
            <w:r w:rsidRPr="00F0797D">
              <w:rPr>
                <w:rFonts w:ascii="Calibri" w:hAnsi="Calibri" w:cs="Calibri"/>
                <w:szCs w:val="22"/>
              </w:rPr>
              <w:t xml:space="preserve">A number of Acts of Parliament provide clear measures for addressing corruption generally, with a few of them aimed specifically at the forest sector. </w:t>
            </w:r>
            <w:r w:rsidRPr="00F0797D">
              <w:rPr>
                <w:rStyle w:val="FootnoteReference"/>
                <w:rFonts w:ascii="Calibri" w:hAnsi="Calibri" w:cs="Calibri"/>
                <w:szCs w:val="22"/>
              </w:rPr>
              <w:footnoteReference w:id="39"/>
            </w:r>
            <w:r w:rsidRPr="00F0797D">
              <w:rPr>
                <w:rFonts w:ascii="Calibri" w:hAnsi="Calibri" w:cs="Calibri"/>
                <w:szCs w:val="22"/>
              </w:rPr>
              <w:t xml:space="preserve"> The Constitution also clearly outlines a code of conduct to be followed by persons in public offices.</w:t>
            </w:r>
            <w:r w:rsidRPr="00F0797D">
              <w:rPr>
                <w:rStyle w:val="FootnoteReference"/>
                <w:rFonts w:ascii="Calibri" w:hAnsi="Calibri" w:cs="Calibri"/>
                <w:szCs w:val="22"/>
              </w:rPr>
              <w:footnoteReference w:id="40"/>
            </w:r>
            <w:r w:rsidRPr="00F0797D">
              <w:rPr>
                <w:rFonts w:ascii="Calibri" w:hAnsi="Calibri" w:cs="Calibri"/>
                <w:szCs w:val="22"/>
              </w:rPr>
              <w:t xml:space="preserve"> Ghana’s legal framework establishes an independent agency mandated to fight corruption and investigate allegationsof corruption</w:t>
            </w:r>
            <w:r w:rsidRPr="00F0797D">
              <w:rPr>
                <w:rStyle w:val="FootnoteReference"/>
                <w:rFonts w:ascii="Calibri" w:hAnsi="Calibri" w:cs="Calibri"/>
                <w:szCs w:val="22"/>
              </w:rPr>
              <w:t xml:space="preserve"> </w:t>
            </w:r>
            <w:r w:rsidRPr="00F0797D">
              <w:rPr>
                <w:rStyle w:val="FootnoteReference"/>
                <w:rFonts w:ascii="Calibri" w:hAnsi="Calibri" w:cs="Calibri"/>
                <w:szCs w:val="22"/>
              </w:rPr>
              <w:footnoteReference w:id="41"/>
            </w:r>
            <w:r w:rsidRPr="00F0797D">
              <w:rPr>
                <w:rStyle w:val="FootnoteReference"/>
                <w:rFonts w:ascii="Calibri" w:hAnsi="Calibri" w:cs="Calibri"/>
                <w:szCs w:val="22"/>
              </w:rPr>
              <w:t xml:space="preserve"> </w:t>
            </w:r>
            <w:r w:rsidRPr="00F0797D">
              <w:rPr>
                <w:rFonts w:ascii="Calibri" w:hAnsi="Calibri" w:cs="Calibri"/>
                <w:szCs w:val="22"/>
              </w:rPr>
              <w:t xml:space="preserve"> and clearly outline the penalties prescribed for acts of corruption.</w:t>
            </w:r>
            <w:r w:rsidRPr="00F0797D">
              <w:rPr>
                <w:rStyle w:val="FootnoteReference"/>
                <w:rFonts w:ascii="Calibri" w:hAnsi="Calibri" w:cs="Calibri"/>
                <w:szCs w:val="22"/>
              </w:rPr>
              <w:footnoteReference w:id="42"/>
            </w:r>
          </w:p>
          <w:p w14:paraId="10C24251" w14:textId="77777777" w:rsidR="004D1524" w:rsidRPr="00F0797D" w:rsidRDefault="004D1524" w:rsidP="00483E52">
            <w:pPr>
              <w:ind w:left="720"/>
              <w:rPr>
                <w:rFonts w:ascii="Calibri" w:hAnsi="Calibri" w:cs="Calibri"/>
                <w:szCs w:val="22"/>
              </w:rPr>
            </w:pPr>
          </w:p>
        </w:tc>
        <w:tc>
          <w:tcPr>
            <w:tcW w:w="1357" w:type="pct"/>
            <w:vMerge/>
            <w:shd w:val="clear" w:color="auto" w:fill="auto"/>
          </w:tcPr>
          <w:p w14:paraId="0776CA9C" w14:textId="77777777" w:rsidR="004D1524" w:rsidRPr="00F0797D" w:rsidRDefault="004D1524" w:rsidP="00483E52">
            <w:pPr>
              <w:rPr>
                <w:rFonts w:ascii="Calibri" w:hAnsi="Calibri" w:cs="Calibri"/>
                <w:szCs w:val="22"/>
              </w:rPr>
            </w:pPr>
          </w:p>
        </w:tc>
      </w:tr>
      <w:tr w:rsidR="004D1524" w:rsidRPr="00F0797D" w14:paraId="2C4E25B1" w14:textId="77777777" w:rsidTr="00483E52">
        <w:tc>
          <w:tcPr>
            <w:tcW w:w="1257" w:type="pct"/>
            <w:shd w:val="clear" w:color="auto" w:fill="auto"/>
            <w:vAlign w:val="center"/>
          </w:tcPr>
          <w:p w14:paraId="1A975E6F" w14:textId="77777777" w:rsidR="004D1524" w:rsidRPr="00F0797D" w:rsidRDefault="004D1524" w:rsidP="00483E52">
            <w:pPr>
              <w:rPr>
                <w:rFonts w:ascii="Calibri" w:hAnsi="Calibri" w:cs="Calibri"/>
                <w:szCs w:val="22"/>
              </w:rPr>
            </w:pPr>
            <w:r w:rsidRPr="00F0797D">
              <w:rPr>
                <w:rFonts w:ascii="Calibri" w:hAnsi="Calibri" w:cs="Calibri"/>
                <w:szCs w:val="22"/>
              </w:rPr>
              <w:t xml:space="preserve">B.3 Rights over forest land are recognised throughout the </w:t>
            </w:r>
          </w:p>
          <w:p w14:paraId="3C0E7728" w14:textId="77777777" w:rsidR="004D1524" w:rsidRPr="00F0797D" w:rsidRDefault="004D1524" w:rsidP="00483E52">
            <w:pPr>
              <w:rPr>
                <w:rFonts w:ascii="Calibri" w:hAnsi="Calibri" w:cs="Calibri"/>
                <w:szCs w:val="22"/>
              </w:rPr>
            </w:pPr>
            <w:r w:rsidRPr="00F0797D">
              <w:rPr>
                <w:rFonts w:ascii="Calibri" w:hAnsi="Calibri" w:cs="Calibri"/>
                <w:szCs w:val="22"/>
              </w:rPr>
              <w:t xml:space="preserve">implementation of </w:t>
            </w:r>
            <w:r>
              <w:rPr>
                <w:rFonts w:ascii="Calibri" w:hAnsi="Calibri" w:cs="Calibri"/>
                <w:szCs w:val="22"/>
              </w:rPr>
              <w:t>REDD+</w:t>
            </w:r>
          </w:p>
        </w:tc>
        <w:tc>
          <w:tcPr>
            <w:tcW w:w="2386" w:type="pct"/>
            <w:tcBorders>
              <w:top w:val="single" w:sz="4" w:space="0" w:color="auto"/>
            </w:tcBorders>
            <w:shd w:val="clear" w:color="auto" w:fill="auto"/>
            <w:vAlign w:val="center"/>
          </w:tcPr>
          <w:p w14:paraId="11FE012A" w14:textId="77777777" w:rsidR="004D1524" w:rsidRPr="00F0797D" w:rsidRDefault="004D1524" w:rsidP="00483E52">
            <w:pPr>
              <w:pStyle w:val="texto"/>
              <w:spacing w:after="0" w:line="240" w:lineRule="auto"/>
              <w:ind w:firstLine="0"/>
              <w:rPr>
                <w:rFonts w:ascii="Calibri" w:hAnsi="Calibri" w:cs="Calibri"/>
                <w:sz w:val="22"/>
                <w:szCs w:val="22"/>
                <w:lang w:val="en-GB"/>
              </w:rPr>
            </w:pPr>
            <w:r w:rsidRPr="00F0797D">
              <w:rPr>
                <w:rFonts w:ascii="Calibri" w:hAnsi="Calibri" w:cs="Calibri"/>
                <w:sz w:val="22"/>
                <w:szCs w:val="22"/>
                <w:lang w:val="en-GB"/>
              </w:rPr>
              <w:t>Land Tenure and Occupying Rights are recognised by Land Registry Act</w:t>
            </w:r>
            <w:r w:rsidRPr="00F0797D">
              <w:rPr>
                <w:rStyle w:val="FootnoteReference"/>
                <w:rFonts w:ascii="Calibri" w:hAnsi="Calibri" w:cs="Calibri"/>
                <w:szCs w:val="22"/>
                <w:lang w:val="en-GB"/>
              </w:rPr>
              <w:footnoteReference w:id="43"/>
            </w:r>
            <w:r w:rsidRPr="00F0797D">
              <w:rPr>
                <w:rFonts w:ascii="Calibri" w:hAnsi="Calibri" w:cs="Calibri"/>
                <w:sz w:val="22"/>
                <w:szCs w:val="22"/>
                <w:lang w:val="en-GB"/>
              </w:rPr>
              <w:t xml:space="preserve">. </w:t>
            </w:r>
            <w:r w:rsidRPr="00982DDC">
              <w:rPr>
                <w:rFonts w:ascii="Calibri" w:hAnsi="Calibri" w:cs="Calibri"/>
                <w:sz w:val="22"/>
                <w:szCs w:val="22"/>
                <w:lang w:val="en-US"/>
              </w:rPr>
              <w:t>The procedures and processes to acquiring land ownership are found in the Conveyancing Act</w:t>
            </w:r>
            <w:r w:rsidRPr="00F0797D">
              <w:rPr>
                <w:rStyle w:val="FootnoteReference"/>
                <w:rFonts w:ascii="Calibri" w:hAnsi="Calibri" w:cs="Calibri"/>
                <w:szCs w:val="22"/>
                <w:lang w:val="en-GB"/>
              </w:rPr>
              <w:footnoteReference w:id="44"/>
            </w:r>
            <w:r w:rsidRPr="00982DDC">
              <w:rPr>
                <w:rFonts w:ascii="Calibri" w:hAnsi="Calibri" w:cs="Calibri"/>
                <w:sz w:val="22"/>
                <w:szCs w:val="22"/>
                <w:lang w:val="en-US"/>
              </w:rPr>
              <w:t xml:space="preserve">. </w:t>
            </w:r>
            <w:r w:rsidRPr="00F0797D">
              <w:rPr>
                <w:rFonts w:ascii="Calibri" w:hAnsi="Calibri" w:cs="Calibri"/>
                <w:sz w:val="22"/>
                <w:szCs w:val="22"/>
                <w:lang w:val="en-GB"/>
              </w:rPr>
              <w:t>Constitution also recognises rights over land including statutory and land ownership rights</w:t>
            </w:r>
            <w:r w:rsidRPr="00F0797D">
              <w:rPr>
                <w:rStyle w:val="FootnoteReference"/>
                <w:rFonts w:ascii="Calibri" w:hAnsi="Calibri" w:cs="Calibri"/>
                <w:szCs w:val="22"/>
                <w:lang w:val="en-GB"/>
              </w:rPr>
              <w:footnoteReference w:id="45"/>
            </w:r>
            <w:r w:rsidRPr="00F0797D">
              <w:rPr>
                <w:rFonts w:ascii="Calibri" w:hAnsi="Calibri" w:cs="Calibri"/>
                <w:sz w:val="22"/>
                <w:szCs w:val="22"/>
                <w:lang w:val="en-GB"/>
              </w:rPr>
              <w:t>.</w:t>
            </w:r>
          </w:p>
          <w:p w14:paraId="587F749C" w14:textId="77777777" w:rsidR="004D1524" w:rsidRPr="00F0797D" w:rsidRDefault="004D1524" w:rsidP="00483E52">
            <w:pPr>
              <w:pStyle w:val="texto"/>
              <w:spacing w:after="0" w:line="240" w:lineRule="auto"/>
              <w:ind w:firstLine="0"/>
              <w:rPr>
                <w:rFonts w:ascii="Calibri" w:hAnsi="Calibri" w:cs="Calibri"/>
                <w:sz w:val="22"/>
                <w:szCs w:val="22"/>
                <w:lang w:val="en-GB"/>
              </w:rPr>
            </w:pPr>
          </w:p>
          <w:p w14:paraId="6BA6706E" w14:textId="77777777" w:rsidR="004D1524" w:rsidRDefault="004D1524" w:rsidP="004D1524">
            <w:pPr>
              <w:rPr>
                <w:rFonts w:ascii="Calibri" w:hAnsi="Calibri" w:cs="Calibri"/>
                <w:szCs w:val="22"/>
              </w:rPr>
            </w:pPr>
            <w:r w:rsidRPr="00F0797D">
              <w:rPr>
                <w:rFonts w:ascii="Calibri" w:hAnsi="Calibri" w:cs="Calibri"/>
                <w:szCs w:val="22"/>
              </w:rPr>
              <w:t>All public lands in Ghana are vested in the President for and on behalf of the people, while stool lands are vested, not in the president, but in the Stool, for and on behalf of his subjects.</w:t>
            </w:r>
            <w:r w:rsidRPr="00F0797D">
              <w:rPr>
                <w:rStyle w:val="FootnoteReference"/>
                <w:rFonts w:ascii="Calibri" w:hAnsi="Calibri" w:cs="Calibri"/>
                <w:szCs w:val="22"/>
              </w:rPr>
              <w:footnoteReference w:id="46"/>
            </w:r>
            <w:r w:rsidRPr="00F0797D">
              <w:rPr>
                <w:rFonts w:ascii="Calibri" w:hAnsi="Calibri" w:cs="Calibri"/>
                <w:szCs w:val="22"/>
              </w:rPr>
              <w:t xml:space="preserve"> The laws also recognise private forest land ownership. The procedures and processes to be followed in order to acquire title to land, including forestlands in Ghana are clear, </w:t>
            </w:r>
            <w:r w:rsidRPr="00F0797D">
              <w:rPr>
                <w:rFonts w:ascii="Calibri" w:hAnsi="Calibri" w:cs="Calibri"/>
                <w:szCs w:val="22"/>
              </w:rPr>
              <w:lastRenderedPageBreak/>
              <w:t>accessible and enforceable.</w:t>
            </w:r>
            <w:r w:rsidRPr="00F0797D">
              <w:rPr>
                <w:rStyle w:val="FootnoteReference"/>
                <w:rFonts w:ascii="Calibri" w:hAnsi="Calibri" w:cs="Calibri"/>
                <w:szCs w:val="22"/>
              </w:rPr>
              <w:footnoteReference w:id="47"/>
            </w:r>
            <w:r w:rsidRPr="00F0797D">
              <w:rPr>
                <w:rFonts w:ascii="Calibri" w:hAnsi="Calibri" w:cs="Calibri"/>
                <w:szCs w:val="22"/>
              </w:rPr>
              <w:t xml:space="preserve"> Control and management of the resources that are to be found on forest land is vested in the President. </w:t>
            </w:r>
          </w:p>
          <w:p w14:paraId="7922B32E" w14:textId="1CF48531" w:rsidR="004D1524" w:rsidRPr="00F0797D" w:rsidRDefault="004D1524" w:rsidP="004D1524">
            <w:pPr>
              <w:rPr>
                <w:rFonts w:ascii="Calibri" w:hAnsi="Calibri" w:cs="Calibri"/>
                <w:szCs w:val="22"/>
              </w:rPr>
            </w:pPr>
          </w:p>
        </w:tc>
        <w:tc>
          <w:tcPr>
            <w:tcW w:w="1357" w:type="pct"/>
            <w:vMerge/>
            <w:shd w:val="clear" w:color="auto" w:fill="auto"/>
          </w:tcPr>
          <w:p w14:paraId="4340E997" w14:textId="77777777" w:rsidR="004D1524" w:rsidRPr="00F0797D" w:rsidRDefault="004D1524" w:rsidP="00483E52">
            <w:pPr>
              <w:rPr>
                <w:rFonts w:ascii="Calibri" w:hAnsi="Calibri" w:cs="Calibri"/>
                <w:szCs w:val="22"/>
              </w:rPr>
            </w:pPr>
          </w:p>
        </w:tc>
      </w:tr>
      <w:tr w:rsidR="004D1524" w:rsidRPr="00F0797D" w14:paraId="65D4B332" w14:textId="77777777" w:rsidTr="00483E52">
        <w:tc>
          <w:tcPr>
            <w:tcW w:w="1257" w:type="pct"/>
            <w:shd w:val="clear" w:color="auto" w:fill="auto"/>
            <w:vAlign w:val="center"/>
          </w:tcPr>
          <w:p w14:paraId="4D08B6FD" w14:textId="77777777" w:rsidR="004D1524" w:rsidRPr="00F0797D" w:rsidRDefault="004D1524" w:rsidP="00483E52">
            <w:pPr>
              <w:rPr>
                <w:rFonts w:ascii="Calibri" w:hAnsi="Calibri" w:cs="Calibri"/>
                <w:szCs w:val="22"/>
              </w:rPr>
            </w:pPr>
            <w:r w:rsidRPr="00F0797D">
              <w:rPr>
                <w:rFonts w:ascii="Calibri" w:hAnsi="Calibri" w:cs="Calibri"/>
                <w:szCs w:val="22"/>
              </w:rPr>
              <w:t xml:space="preserve">B.4 The equitable distribution of benefits is ensured throughout the implementation of </w:t>
            </w:r>
            <w:r>
              <w:rPr>
                <w:rFonts w:ascii="Calibri" w:hAnsi="Calibri" w:cs="Calibri"/>
                <w:szCs w:val="22"/>
              </w:rPr>
              <w:t>REDD+</w:t>
            </w:r>
            <w:r w:rsidRPr="00F0797D">
              <w:rPr>
                <w:rFonts w:ascii="Calibri" w:hAnsi="Calibri" w:cs="Calibri"/>
                <w:szCs w:val="22"/>
              </w:rPr>
              <w:t xml:space="preserve"> </w:t>
            </w:r>
          </w:p>
          <w:p w14:paraId="6260F0E2" w14:textId="77777777" w:rsidR="004D1524" w:rsidRPr="00F0797D" w:rsidRDefault="004D1524" w:rsidP="00483E52">
            <w:pPr>
              <w:rPr>
                <w:rFonts w:ascii="Calibri" w:hAnsi="Calibri" w:cs="Calibri"/>
                <w:szCs w:val="22"/>
              </w:rPr>
            </w:pPr>
          </w:p>
        </w:tc>
        <w:tc>
          <w:tcPr>
            <w:tcW w:w="2386" w:type="pct"/>
            <w:shd w:val="clear" w:color="auto" w:fill="auto"/>
          </w:tcPr>
          <w:p w14:paraId="3C05FA4C" w14:textId="77777777" w:rsidR="004D1524" w:rsidRPr="00F0797D" w:rsidRDefault="004D1524" w:rsidP="00483E52">
            <w:pPr>
              <w:rPr>
                <w:rFonts w:ascii="Calibri" w:hAnsi="Calibri" w:cs="Calibri"/>
              </w:rPr>
            </w:pPr>
            <w:r w:rsidRPr="00F0797D">
              <w:rPr>
                <w:rFonts w:ascii="Calibri" w:hAnsi="Calibri" w:cs="Calibri"/>
                <w:szCs w:val="22"/>
              </w:rPr>
              <w:t>The Constitution of Ghana</w:t>
            </w:r>
            <w:r w:rsidRPr="00F0797D">
              <w:rPr>
                <w:rStyle w:val="FootnoteReference"/>
                <w:rFonts w:ascii="Calibri" w:hAnsi="Calibri" w:cs="Calibri"/>
                <w:szCs w:val="22"/>
              </w:rPr>
              <w:footnoteReference w:id="48"/>
            </w:r>
            <w:r w:rsidRPr="00F0797D">
              <w:rPr>
                <w:rFonts w:ascii="Calibri" w:hAnsi="Calibri" w:cs="Calibri"/>
                <w:szCs w:val="22"/>
              </w:rPr>
              <w:t xml:space="preserve"> caters to a regime of fair distribution of benefits arising from the use of forest resources. In some instances, the amount to be paid and who the beneficiaries of such payments are, have been clearly stipulated. </w:t>
            </w:r>
            <w:r w:rsidRPr="00F0797D">
              <w:rPr>
                <w:rStyle w:val="FootnoteReference"/>
                <w:rFonts w:ascii="Calibri" w:hAnsi="Calibri" w:cs="Calibri"/>
                <w:szCs w:val="22"/>
              </w:rPr>
              <w:footnoteReference w:id="49"/>
            </w:r>
          </w:p>
          <w:p w14:paraId="4C601A8A" w14:textId="77777777" w:rsidR="004D1524" w:rsidRPr="00F0797D" w:rsidRDefault="004D1524" w:rsidP="00483E52">
            <w:pPr>
              <w:rPr>
                <w:rFonts w:ascii="Calibri" w:hAnsi="Calibri" w:cs="Calibri"/>
                <w:szCs w:val="22"/>
              </w:rPr>
            </w:pPr>
          </w:p>
          <w:p w14:paraId="1DE6ED50" w14:textId="77777777" w:rsidR="004D1524" w:rsidRPr="00F0797D" w:rsidRDefault="004D1524" w:rsidP="00483E52">
            <w:pPr>
              <w:rPr>
                <w:rFonts w:ascii="Calibri" w:hAnsi="Calibri" w:cs="Calibri"/>
                <w:szCs w:val="22"/>
              </w:rPr>
            </w:pPr>
            <w:r w:rsidRPr="00F0797D">
              <w:rPr>
                <w:rFonts w:ascii="Calibri" w:hAnsi="Calibri" w:cs="Calibri"/>
                <w:szCs w:val="22"/>
              </w:rPr>
              <w:t>Benefit sharing of forest resources is provided for in the Convention on Biological Diversity</w:t>
            </w:r>
            <w:r w:rsidRPr="00F0797D">
              <w:rPr>
                <w:rStyle w:val="FootnoteReference"/>
                <w:rFonts w:ascii="Calibri" w:hAnsi="Calibri" w:cs="Calibri"/>
                <w:szCs w:val="22"/>
              </w:rPr>
              <w:footnoteReference w:id="50"/>
            </w:r>
            <w:r w:rsidRPr="0019554D">
              <w:rPr>
                <w:rFonts w:ascii="Calibri" w:hAnsi="Calibri" w:cs="Calibri"/>
                <w:szCs w:val="22"/>
              </w:rPr>
              <w:t>.</w:t>
            </w:r>
          </w:p>
          <w:p w14:paraId="3F2ACCFC" w14:textId="77777777" w:rsidR="004D1524" w:rsidRPr="00F0797D" w:rsidRDefault="004D1524" w:rsidP="00483E52">
            <w:pPr>
              <w:rPr>
                <w:rFonts w:ascii="Calibri" w:hAnsi="Calibri" w:cs="Calibri"/>
                <w:szCs w:val="22"/>
              </w:rPr>
            </w:pPr>
          </w:p>
        </w:tc>
        <w:tc>
          <w:tcPr>
            <w:tcW w:w="1357" w:type="pct"/>
            <w:vMerge/>
            <w:shd w:val="clear" w:color="auto" w:fill="auto"/>
          </w:tcPr>
          <w:p w14:paraId="6806BEDB" w14:textId="77777777" w:rsidR="004D1524" w:rsidRPr="00F0797D" w:rsidRDefault="004D1524" w:rsidP="00483E52">
            <w:pPr>
              <w:rPr>
                <w:rFonts w:ascii="Calibri" w:hAnsi="Calibri" w:cs="Calibri"/>
                <w:szCs w:val="22"/>
              </w:rPr>
            </w:pPr>
          </w:p>
        </w:tc>
      </w:tr>
      <w:tr w:rsidR="004D1524" w:rsidRPr="00F0797D" w14:paraId="187569A8" w14:textId="77777777" w:rsidTr="00483E52">
        <w:tc>
          <w:tcPr>
            <w:tcW w:w="1257" w:type="pct"/>
            <w:shd w:val="clear" w:color="auto" w:fill="auto"/>
            <w:vAlign w:val="center"/>
          </w:tcPr>
          <w:p w14:paraId="2BEB64A0" w14:textId="77777777" w:rsidR="004D1524" w:rsidRPr="00F0797D" w:rsidRDefault="004D1524" w:rsidP="00483E52">
            <w:pPr>
              <w:rPr>
                <w:rFonts w:ascii="Calibri" w:hAnsi="Calibri" w:cs="Calibri"/>
                <w:szCs w:val="22"/>
              </w:rPr>
            </w:pPr>
            <w:r w:rsidRPr="00F0797D">
              <w:rPr>
                <w:rFonts w:ascii="Calibri" w:hAnsi="Calibri" w:cs="Calibri"/>
                <w:szCs w:val="22"/>
              </w:rPr>
              <w:t xml:space="preserve">B.5 Gender equality is promoted and protected throughout the implementation of </w:t>
            </w:r>
            <w:r>
              <w:rPr>
                <w:rFonts w:ascii="Calibri" w:hAnsi="Calibri" w:cs="Calibri"/>
                <w:szCs w:val="22"/>
              </w:rPr>
              <w:t>REDD+</w:t>
            </w:r>
          </w:p>
        </w:tc>
        <w:tc>
          <w:tcPr>
            <w:tcW w:w="2386" w:type="pct"/>
            <w:shd w:val="clear" w:color="auto" w:fill="auto"/>
          </w:tcPr>
          <w:p w14:paraId="00801157" w14:textId="77777777" w:rsidR="004D1524" w:rsidRPr="00F0797D" w:rsidRDefault="004D1524" w:rsidP="00483E52">
            <w:pPr>
              <w:spacing w:after="200" w:line="252" w:lineRule="auto"/>
              <w:rPr>
                <w:rFonts w:ascii="Calibri" w:hAnsi="Calibri" w:cs="Calibri"/>
                <w:color w:val="000000"/>
                <w:szCs w:val="22"/>
              </w:rPr>
            </w:pPr>
            <w:r w:rsidRPr="00F0797D">
              <w:rPr>
                <w:rFonts w:ascii="Calibri" w:hAnsi="Calibri" w:cs="Calibri"/>
                <w:color w:val="000000"/>
                <w:szCs w:val="22"/>
              </w:rPr>
              <w:t>The Constitution includes a prohibition of discrimination, including on grounds of gender</w:t>
            </w:r>
            <w:r w:rsidRPr="00F0797D">
              <w:rPr>
                <w:rStyle w:val="FootnoteReference"/>
                <w:rFonts w:ascii="Calibri" w:hAnsi="Calibri" w:cs="Calibri"/>
                <w:color w:val="000000"/>
                <w:szCs w:val="22"/>
              </w:rPr>
              <w:footnoteReference w:id="51"/>
            </w:r>
            <w:r w:rsidRPr="0019554D">
              <w:rPr>
                <w:rFonts w:ascii="Calibri" w:hAnsi="Calibri" w:cs="Calibri"/>
                <w:color w:val="000000"/>
                <w:szCs w:val="22"/>
              </w:rPr>
              <w:t>.</w:t>
            </w:r>
            <w:r w:rsidRPr="00F0797D">
              <w:rPr>
                <w:rFonts w:ascii="Calibri" w:hAnsi="Calibri" w:cs="Calibri"/>
                <w:color w:val="000000"/>
                <w:szCs w:val="22"/>
              </w:rPr>
              <w:t xml:space="preserve"> </w:t>
            </w:r>
          </w:p>
          <w:p w14:paraId="4C25E775" w14:textId="77777777" w:rsidR="004D1524" w:rsidRPr="00F0797D" w:rsidRDefault="004D1524" w:rsidP="00483E52">
            <w:pPr>
              <w:spacing w:after="200" w:line="252" w:lineRule="auto"/>
              <w:rPr>
                <w:rFonts w:ascii="Calibri" w:hAnsi="Calibri" w:cs="Calibri"/>
                <w:color w:val="000000"/>
                <w:szCs w:val="22"/>
              </w:rPr>
            </w:pPr>
            <w:r w:rsidRPr="00F0797D">
              <w:rPr>
                <w:rFonts w:ascii="Calibri" w:hAnsi="Calibri" w:cs="Calibri"/>
                <w:color w:val="000000"/>
                <w:szCs w:val="22"/>
              </w:rPr>
              <w:t>The 2012 National Gender Policy</w:t>
            </w:r>
            <w:r w:rsidRPr="00F0797D">
              <w:rPr>
                <w:rStyle w:val="FootnoteReference"/>
                <w:rFonts w:ascii="Calibri" w:hAnsi="Calibri" w:cs="Calibri"/>
                <w:color w:val="000000"/>
                <w:szCs w:val="22"/>
              </w:rPr>
              <w:footnoteReference w:id="52"/>
            </w:r>
            <w:r w:rsidRPr="00F0797D">
              <w:rPr>
                <w:rFonts w:ascii="Calibri" w:hAnsi="Calibri" w:cs="Calibri"/>
                <w:color w:val="000000"/>
                <w:szCs w:val="22"/>
              </w:rPr>
              <w:t xml:space="preserve"> also aims to maintain gender equality concerns</w:t>
            </w:r>
            <w:r w:rsidRPr="0019554D">
              <w:rPr>
                <w:rFonts w:ascii="Calibri" w:hAnsi="Calibri" w:cs="Calibri"/>
                <w:color w:val="000000"/>
                <w:szCs w:val="22"/>
              </w:rPr>
              <w:t>.</w:t>
            </w:r>
          </w:p>
        </w:tc>
        <w:tc>
          <w:tcPr>
            <w:tcW w:w="1357" w:type="pct"/>
            <w:vMerge/>
            <w:shd w:val="clear" w:color="auto" w:fill="auto"/>
          </w:tcPr>
          <w:p w14:paraId="652D5DD4" w14:textId="77777777" w:rsidR="004D1524" w:rsidRPr="00F0797D" w:rsidRDefault="004D1524" w:rsidP="00483E52">
            <w:pPr>
              <w:rPr>
                <w:rFonts w:ascii="Calibri" w:hAnsi="Calibri" w:cs="Calibri"/>
                <w:szCs w:val="22"/>
              </w:rPr>
            </w:pPr>
          </w:p>
        </w:tc>
      </w:tr>
      <w:tr w:rsidR="004D1524" w:rsidRPr="00F0797D" w14:paraId="10C0AB4A" w14:textId="77777777" w:rsidTr="00483E52">
        <w:tc>
          <w:tcPr>
            <w:tcW w:w="1257" w:type="pct"/>
            <w:shd w:val="clear" w:color="auto" w:fill="auto"/>
          </w:tcPr>
          <w:p w14:paraId="6B630B20" w14:textId="77777777" w:rsidR="004D1524" w:rsidRPr="00F0797D" w:rsidRDefault="004D1524" w:rsidP="00483E52">
            <w:pPr>
              <w:rPr>
                <w:rFonts w:ascii="Calibri" w:hAnsi="Calibri" w:cs="Calibri"/>
                <w:szCs w:val="22"/>
              </w:rPr>
            </w:pPr>
          </w:p>
          <w:p w14:paraId="51AEB433" w14:textId="77777777" w:rsidR="004D1524" w:rsidRPr="00F0797D" w:rsidRDefault="004D1524" w:rsidP="00483E52">
            <w:pPr>
              <w:rPr>
                <w:rFonts w:ascii="Calibri" w:hAnsi="Calibri" w:cs="Calibri"/>
                <w:szCs w:val="22"/>
              </w:rPr>
            </w:pPr>
            <w:r w:rsidRPr="00F0797D">
              <w:rPr>
                <w:rFonts w:ascii="Calibri" w:hAnsi="Calibri" w:cs="Calibri"/>
                <w:szCs w:val="22"/>
              </w:rPr>
              <w:t xml:space="preserve">B.6 Access justice is enabled throughout the implementation of </w:t>
            </w:r>
            <w:r>
              <w:rPr>
                <w:rFonts w:ascii="Calibri" w:hAnsi="Calibri" w:cs="Calibri"/>
                <w:szCs w:val="22"/>
              </w:rPr>
              <w:t>REDD+</w:t>
            </w:r>
          </w:p>
        </w:tc>
        <w:tc>
          <w:tcPr>
            <w:tcW w:w="2386" w:type="pct"/>
            <w:shd w:val="clear" w:color="auto" w:fill="auto"/>
            <w:vAlign w:val="center"/>
          </w:tcPr>
          <w:p w14:paraId="3643DFD2" w14:textId="77777777" w:rsidR="004D1524" w:rsidRPr="00F0797D" w:rsidRDefault="004D1524" w:rsidP="00483E52">
            <w:pPr>
              <w:rPr>
                <w:rFonts w:ascii="Calibri" w:hAnsi="Calibri" w:cs="Calibri"/>
                <w:szCs w:val="22"/>
              </w:rPr>
            </w:pPr>
            <w:r w:rsidRPr="00F0797D">
              <w:rPr>
                <w:rFonts w:ascii="Calibri" w:hAnsi="Calibri" w:cs="Calibri"/>
                <w:szCs w:val="22"/>
              </w:rPr>
              <w:t>The right to access to justice is an entrenched provision of the Constitution</w:t>
            </w:r>
            <w:r w:rsidRPr="00F0797D">
              <w:rPr>
                <w:rStyle w:val="FootnoteReference"/>
                <w:rFonts w:ascii="Calibri" w:hAnsi="Calibri" w:cs="Calibri"/>
                <w:szCs w:val="22"/>
              </w:rPr>
              <w:footnoteReference w:id="53"/>
            </w:r>
            <w:r w:rsidRPr="00F0797D">
              <w:rPr>
                <w:rFonts w:ascii="Calibri" w:hAnsi="Calibri" w:cs="Calibri"/>
                <w:szCs w:val="22"/>
              </w:rPr>
              <w:t xml:space="preserve"> Through a Court system that comprises both the inferior and superior courts, with clear cut directions regarding the rights of, and procedures for appeal, as well as a traditional system of adjudication through the National and Regional Houses of Chiefs, and an Alternative Dispute Resolution (ADR) system, Ghana’s legal framework provides effective dispute resolution mechanisms capable of addressing all forms of disputes at all levels.</w:t>
            </w:r>
            <w:r w:rsidRPr="00F0797D">
              <w:rPr>
                <w:rStyle w:val="FootnoteReference"/>
                <w:rFonts w:ascii="Calibri" w:hAnsi="Calibri" w:cs="Calibri"/>
                <w:szCs w:val="22"/>
              </w:rPr>
              <w:footnoteReference w:id="54"/>
            </w:r>
          </w:p>
          <w:p w14:paraId="64EE4637" w14:textId="77777777" w:rsidR="004D1524" w:rsidRPr="00F0797D" w:rsidRDefault="004D1524" w:rsidP="00483E52">
            <w:pPr>
              <w:rPr>
                <w:rFonts w:ascii="Calibri" w:hAnsi="Calibri" w:cs="Calibri"/>
                <w:szCs w:val="22"/>
              </w:rPr>
            </w:pPr>
          </w:p>
          <w:p w14:paraId="24089E66" w14:textId="77777777" w:rsidR="004D1524" w:rsidRPr="00F0797D" w:rsidRDefault="004D1524" w:rsidP="00483E52">
            <w:pPr>
              <w:rPr>
                <w:rFonts w:ascii="Calibri" w:hAnsi="Calibri" w:cs="Calibri"/>
                <w:szCs w:val="22"/>
              </w:rPr>
            </w:pPr>
            <w:r w:rsidRPr="00F0797D">
              <w:rPr>
                <w:rFonts w:ascii="Calibri" w:hAnsi="Calibri" w:cs="Calibri"/>
                <w:szCs w:val="22"/>
              </w:rPr>
              <w:t>PLRs  in Ghana have, through the Legal Aids Scheme</w:t>
            </w:r>
            <w:r w:rsidRPr="00F0797D">
              <w:rPr>
                <w:rStyle w:val="FootnoteReference"/>
                <w:rFonts w:ascii="Calibri" w:hAnsi="Calibri" w:cs="Calibri"/>
                <w:szCs w:val="22"/>
              </w:rPr>
              <w:footnoteReference w:id="55"/>
            </w:r>
            <w:r w:rsidRPr="00F0797D">
              <w:rPr>
                <w:rFonts w:ascii="Calibri" w:hAnsi="Calibri" w:cs="Calibri"/>
                <w:szCs w:val="22"/>
              </w:rPr>
              <w:t>, made provisions for the poor to have access to legal services and other forms of legal support.</w:t>
            </w:r>
          </w:p>
          <w:p w14:paraId="79B1708A" w14:textId="77777777" w:rsidR="004D1524" w:rsidRPr="00F0797D" w:rsidRDefault="004D1524" w:rsidP="00483E52">
            <w:pPr>
              <w:rPr>
                <w:rFonts w:ascii="Calibri" w:hAnsi="Calibri" w:cs="Calibri"/>
                <w:szCs w:val="22"/>
              </w:rPr>
            </w:pPr>
          </w:p>
        </w:tc>
        <w:tc>
          <w:tcPr>
            <w:tcW w:w="1357" w:type="pct"/>
            <w:vMerge/>
            <w:shd w:val="clear" w:color="auto" w:fill="auto"/>
          </w:tcPr>
          <w:p w14:paraId="273754E5" w14:textId="77777777" w:rsidR="004D1524" w:rsidRPr="00F0797D" w:rsidRDefault="004D1524" w:rsidP="00483E52">
            <w:pPr>
              <w:rPr>
                <w:rFonts w:ascii="Calibri" w:hAnsi="Calibri" w:cs="Calibri"/>
                <w:szCs w:val="22"/>
              </w:rPr>
            </w:pPr>
          </w:p>
        </w:tc>
      </w:tr>
      <w:tr w:rsidR="004D1524" w:rsidRPr="00F0797D" w14:paraId="594ADB50" w14:textId="77777777" w:rsidTr="00483E52">
        <w:tc>
          <w:tcPr>
            <w:tcW w:w="1257" w:type="pct"/>
            <w:shd w:val="clear" w:color="auto" w:fill="auto"/>
            <w:vAlign w:val="center"/>
          </w:tcPr>
          <w:p w14:paraId="4A77DE0B" w14:textId="77777777" w:rsidR="004D1524" w:rsidRPr="00F0797D" w:rsidRDefault="004D1524" w:rsidP="00483E52">
            <w:pPr>
              <w:rPr>
                <w:rFonts w:ascii="Calibri" w:hAnsi="Calibri" w:cs="Calibri"/>
                <w:szCs w:val="22"/>
              </w:rPr>
            </w:pPr>
            <w:r w:rsidRPr="00F0797D">
              <w:rPr>
                <w:rFonts w:ascii="Calibri" w:hAnsi="Calibri" w:cs="Calibri"/>
                <w:szCs w:val="22"/>
              </w:rPr>
              <w:t xml:space="preserve">B.7 Social, economic and environmental considerations are integrated into </w:t>
            </w:r>
            <w:r>
              <w:rPr>
                <w:rFonts w:ascii="Calibri" w:hAnsi="Calibri" w:cs="Calibri"/>
                <w:szCs w:val="22"/>
              </w:rPr>
              <w:t>REDD+ interventions</w:t>
            </w:r>
          </w:p>
          <w:p w14:paraId="738E339E" w14:textId="77777777" w:rsidR="004D1524" w:rsidRPr="00F0797D" w:rsidRDefault="004D1524" w:rsidP="00483E52">
            <w:pPr>
              <w:rPr>
                <w:rFonts w:ascii="Calibri" w:hAnsi="Calibri" w:cs="Calibri"/>
                <w:szCs w:val="22"/>
              </w:rPr>
            </w:pPr>
          </w:p>
        </w:tc>
        <w:tc>
          <w:tcPr>
            <w:tcW w:w="2386" w:type="pct"/>
            <w:shd w:val="clear" w:color="auto" w:fill="auto"/>
          </w:tcPr>
          <w:p w14:paraId="315F3C9F" w14:textId="77777777" w:rsidR="004D1524" w:rsidRPr="00F0797D" w:rsidRDefault="004D1524" w:rsidP="00483E52">
            <w:pPr>
              <w:rPr>
                <w:rFonts w:ascii="Calibri" w:hAnsi="Calibri" w:cs="Calibri"/>
                <w:szCs w:val="22"/>
              </w:rPr>
            </w:pPr>
            <w:r w:rsidRPr="00F0797D">
              <w:rPr>
                <w:rFonts w:ascii="Calibri" w:hAnsi="Calibri" w:cs="Calibri"/>
                <w:szCs w:val="22"/>
              </w:rPr>
              <w:t>The Constitution</w:t>
            </w:r>
            <w:r w:rsidRPr="00F0797D">
              <w:rPr>
                <w:rStyle w:val="FootnoteReference"/>
                <w:rFonts w:ascii="Calibri" w:hAnsi="Calibri" w:cs="Calibri"/>
                <w:szCs w:val="22"/>
              </w:rPr>
              <w:footnoteReference w:id="56"/>
            </w:r>
            <w:r w:rsidRPr="00F0797D">
              <w:rPr>
                <w:rFonts w:ascii="Calibri" w:hAnsi="Calibri" w:cs="Calibri"/>
                <w:szCs w:val="22"/>
              </w:rPr>
              <w:t xml:space="preserve"> has provisions which mandate the government and citizens to take necessary steps towards the protection and safeguarding of the environment</w:t>
            </w:r>
            <w:r w:rsidRPr="0019554D">
              <w:rPr>
                <w:rFonts w:ascii="Calibri" w:hAnsi="Calibri" w:cs="Calibri"/>
                <w:szCs w:val="22"/>
              </w:rPr>
              <w:t>.</w:t>
            </w:r>
          </w:p>
          <w:p w14:paraId="2DA55BEE" w14:textId="77777777" w:rsidR="004D1524" w:rsidRPr="00F0797D" w:rsidRDefault="004D1524" w:rsidP="00483E52">
            <w:pPr>
              <w:rPr>
                <w:rFonts w:ascii="Calibri" w:hAnsi="Calibri" w:cs="Calibri"/>
                <w:szCs w:val="22"/>
              </w:rPr>
            </w:pPr>
          </w:p>
          <w:p w14:paraId="3BC48DD5" w14:textId="77777777" w:rsidR="004D1524" w:rsidRPr="00F0797D" w:rsidRDefault="004D1524" w:rsidP="00483E52">
            <w:pPr>
              <w:rPr>
                <w:rFonts w:ascii="Calibri" w:hAnsi="Calibri" w:cs="Calibri"/>
                <w:szCs w:val="22"/>
              </w:rPr>
            </w:pPr>
          </w:p>
        </w:tc>
        <w:tc>
          <w:tcPr>
            <w:tcW w:w="1357" w:type="pct"/>
            <w:vMerge/>
            <w:shd w:val="clear" w:color="auto" w:fill="auto"/>
          </w:tcPr>
          <w:p w14:paraId="7E81EC15" w14:textId="77777777" w:rsidR="004D1524" w:rsidRPr="00F0797D" w:rsidRDefault="004D1524" w:rsidP="00483E52">
            <w:pPr>
              <w:rPr>
                <w:rFonts w:ascii="Calibri" w:hAnsi="Calibri" w:cs="Calibri"/>
                <w:szCs w:val="22"/>
              </w:rPr>
            </w:pPr>
          </w:p>
        </w:tc>
      </w:tr>
      <w:tr w:rsidR="004D1524" w:rsidRPr="00F0797D" w14:paraId="03CA2F7E" w14:textId="77777777" w:rsidTr="00483E52">
        <w:tc>
          <w:tcPr>
            <w:tcW w:w="1257" w:type="pct"/>
            <w:shd w:val="clear" w:color="auto" w:fill="auto"/>
            <w:vAlign w:val="center"/>
          </w:tcPr>
          <w:p w14:paraId="27CC654E" w14:textId="77777777" w:rsidR="004D1524" w:rsidRPr="00F0797D" w:rsidRDefault="004D1524" w:rsidP="00483E52">
            <w:pPr>
              <w:rPr>
                <w:rFonts w:ascii="Calibri" w:hAnsi="Calibri" w:cs="Calibri"/>
                <w:szCs w:val="22"/>
              </w:rPr>
            </w:pPr>
            <w:r w:rsidRPr="00F0797D">
              <w:rPr>
                <w:rFonts w:ascii="Calibri" w:hAnsi="Calibri" w:cs="Calibri"/>
                <w:szCs w:val="22"/>
              </w:rPr>
              <w:t xml:space="preserve">B.8 Cross sectoral coordination is ensured during the </w:t>
            </w:r>
            <w:r>
              <w:rPr>
                <w:rFonts w:ascii="Calibri" w:hAnsi="Calibri" w:cs="Calibri"/>
                <w:szCs w:val="22"/>
              </w:rPr>
              <w:t>design and implementation of  REDD+</w:t>
            </w:r>
          </w:p>
        </w:tc>
        <w:tc>
          <w:tcPr>
            <w:tcW w:w="2386" w:type="pct"/>
            <w:shd w:val="clear" w:color="auto" w:fill="auto"/>
          </w:tcPr>
          <w:p w14:paraId="6757219F" w14:textId="77777777" w:rsidR="004D1524" w:rsidRPr="00F0797D" w:rsidRDefault="004D1524" w:rsidP="00483E52">
            <w:pPr>
              <w:rPr>
                <w:rFonts w:ascii="Calibri" w:hAnsi="Calibri" w:cs="Calibri"/>
                <w:szCs w:val="22"/>
              </w:rPr>
            </w:pPr>
            <w:r w:rsidRPr="00F0797D">
              <w:rPr>
                <w:rFonts w:ascii="Calibri" w:hAnsi="Calibri" w:cs="Calibri"/>
                <w:szCs w:val="22"/>
              </w:rPr>
              <w:t>The Ghana Forest and Wildlife Policy</w:t>
            </w:r>
            <w:r w:rsidRPr="00F0797D">
              <w:rPr>
                <w:rStyle w:val="FootnoteReference"/>
                <w:rFonts w:ascii="Calibri" w:hAnsi="Calibri" w:cs="Calibri"/>
                <w:szCs w:val="22"/>
              </w:rPr>
              <w:footnoteReference w:id="57"/>
            </w:r>
            <w:r w:rsidRPr="00F0797D">
              <w:rPr>
                <w:rFonts w:ascii="Calibri" w:hAnsi="Calibri" w:cs="Calibri"/>
                <w:szCs w:val="22"/>
              </w:rPr>
              <w:t>, 2012 shows an intent by the Government to promote inter-sectoral collaboration among relevant Ministries, Departments and Agencies concerned with the sustainable management of forests, to generate and share information to improve forest policy and management by involving all stakeholders in forest management planning, policy formulation and decision making.</w:t>
            </w:r>
            <w:r w:rsidRPr="00F0797D">
              <w:rPr>
                <w:rStyle w:val="FootnoteReference"/>
                <w:rFonts w:ascii="Calibri" w:hAnsi="Calibri" w:cs="Calibri"/>
                <w:szCs w:val="22"/>
              </w:rPr>
              <w:footnoteReference w:id="58"/>
            </w:r>
          </w:p>
        </w:tc>
        <w:tc>
          <w:tcPr>
            <w:tcW w:w="1357" w:type="pct"/>
            <w:vMerge/>
            <w:shd w:val="clear" w:color="auto" w:fill="auto"/>
          </w:tcPr>
          <w:p w14:paraId="14B1CB1F" w14:textId="77777777" w:rsidR="004D1524" w:rsidRPr="00F0797D" w:rsidRDefault="004D1524" w:rsidP="00483E52">
            <w:pPr>
              <w:rPr>
                <w:rFonts w:ascii="Calibri" w:hAnsi="Calibri" w:cs="Calibri"/>
                <w:szCs w:val="22"/>
              </w:rPr>
            </w:pPr>
          </w:p>
        </w:tc>
      </w:tr>
    </w:tbl>
    <w:p w14:paraId="7E8CB655" w14:textId="77777777" w:rsidR="004D1524" w:rsidRPr="00F0797D" w:rsidRDefault="004D1524" w:rsidP="004D1524">
      <w:pPr>
        <w:rPr>
          <w:rFonts w:ascii="Calibri" w:hAnsi="Calibri" w:cs="Calibri"/>
          <w:i/>
          <w:szCs w:val="22"/>
        </w:rPr>
      </w:pPr>
    </w:p>
    <w:p w14:paraId="773BD89B" w14:textId="77777777" w:rsidR="004D1524" w:rsidRPr="00F0797D" w:rsidRDefault="004D1524" w:rsidP="004D1524">
      <w:pPr>
        <w:rPr>
          <w:rFonts w:ascii="Calibri" w:hAnsi="Calibri" w:cs="Calibri"/>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6587"/>
        <w:gridCol w:w="3786"/>
      </w:tblGrid>
      <w:tr w:rsidR="004D1524" w:rsidRPr="00F0797D" w14:paraId="0C9AE4F7" w14:textId="77777777" w:rsidTr="00483E52">
        <w:tc>
          <w:tcPr>
            <w:tcW w:w="5000" w:type="pct"/>
            <w:gridSpan w:val="3"/>
            <w:shd w:val="clear" w:color="auto" w:fill="E2EFD9"/>
          </w:tcPr>
          <w:p w14:paraId="4DF1AAB8" w14:textId="77777777" w:rsidR="004D1524" w:rsidRPr="00F0797D" w:rsidRDefault="004D1524" w:rsidP="00483E52">
            <w:pPr>
              <w:rPr>
                <w:rFonts w:ascii="Calibri" w:hAnsi="Calibri" w:cs="Calibri"/>
                <w:b/>
              </w:rPr>
            </w:pPr>
          </w:p>
          <w:p w14:paraId="4B2F2AC9" w14:textId="77777777" w:rsidR="004D1524" w:rsidRPr="00F0797D" w:rsidRDefault="004D1524" w:rsidP="00483E52">
            <w:pPr>
              <w:rPr>
                <w:rFonts w:ascii="Calibri" w:hAnsi="Calibri" w:cs="Calibri"/>
                <w:b/>
              </w:rPr>
            </w:pPr>
            <w:r w:rsidRPr="00F0797D">
              <w:rPr>
                <w:rFonts w:ascii="Calibri" w:hAnsi="Calibri" w:cs="Calibri"/>
                <w:b/>
              </w:rPr>
              <w:t>UNFCCC REDD+ Safeguard C:</w:t>
            </w:r>
            <w:r w:rsidRPr="00F0797D">
              <w:rPr>
                <w:rFonts w:ascii="Calibri" w:hAnsi="Calibri" w:cs="Calibri"/>
              </w:rPr>
              <w:t xml:space="preserve"> ‘</w:t>
            </w:r>
            <w:r w:rsidRPr="00F0797D">
              <w:rPr>
                <w:rFonts w:ascii="Calibri" w:hAnsi="Calibri" w:cs="Calibri"/>
                <w:b/>
              </w:rPr>
              <w:t>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w:t>
            </w:r>
          </w:p>
          <w:p w14:paraId="6B8947F8" w14:textId="77777777" w:rsidR="004D1524" w:rsidRPr="00F0797D" w:rsidRDefault="004D1524" w:rsidP="00483E52">
            <w:pPr>
              <w:pStyle w:val="FootnoteText"/>
              <w:rPr>
                <w:rFonts w:cs="Calibri"/>
                <w:b/>
                <w:sz w:val="24"/>
              </w:rPr>
            </w:pPr>
          </w:p>
        </w:tc>
      </w:tr>
      <w:tr w:rsidR="004D1524" w:rsidRPr="00F0797D" w14:paraId="115D0F82" w14:textId="77777777" w:rsidTr="00483E52">
        <w:tc>
          <w:tcPr>
            <w:tcW w:w="1282" w:type="pct"/>
            <w:shd w:val="clear" w:color="auto" w:fill="auto"/>
            <w:vAlign w:val="center"/>
          </w:tcPr>
          <w:p w14:paraId="2D4E928D" w14:textId="77777777" w:rsidR="004D1524" w:rsidRPr="00F0797D" w:rsidRDefault="004D1524" w:rsidP="00483E52">
            <w:pPr>
              <w:jc w:val="center"/>
              <w:rPr>
                <w:rFonts w:ascii="Calibri" w:hAnsi="Calibri" w:cs="Calibri"/>
                <w:b/>
                <w:lang w:val="es-ES"/>
              </w:rPr>
            </w:pPr>
            <w:r w:rsidRPr="00F0797D">
              <w:rPr>
                <w:rFonts w:ascii="Calibri" w:hAnsi="Calibri" w:cs="Calibri"/>
                <w:b/>
                <w:lang w:val="es-ES"/>
              </w:rPr>
              <w:t>Core elements</w:t>
            </w:r>
          </w:p>
        </w:tc>
        <w:tc>
          <w:tcPr>
            <w:tcW w:w="2361" w:type="pct"/>
            <w:shd w:val="clear" w:color="auto" w:fill="auto"/>
            <w:vAlign w:val="center"/>
          </w:tcPr>
          <w:p w14:paraId="3A58F541" w14:textId="77777777" w:rsidR="004D1524" w:rsidRPr="00F0797D" w:rsidRDefault="004D1524" w:rsidP="00483E52">
            <w:pPr>
              <w:jc w:val="center"/>
              <w:rPr>
                <w:rFonts w:ascii="Calibri" w:hAnsi="Calibri" w:cs="Calibri"/>
                <w:b/>
                <w:lang w:val="es-ES"/>
              </w:rPr>
            </w:pPr>
            <w:r w:rsidRPr="00F0797D">
              <w:rPr>
                <w:rFonts w:ascii="Calibri" w:hAnsi="Calibri" w:cs="Calibri"/>
                <w:b/>
                <w:lang w:val="es-ES"/>
              </w:rPr>
              <w:t>Legal basis</w:t>
            </w:r>
            <w:r w:rsidRPr="00F0797D">
              <w:rPr>
                <w:rFonts w:ascii="Calibri" w:hAnsi="Calibri" w:cs="Calibri"/>
                <w:i/>
                <w:lang w:val="es-ES"/>
              </w:rPr>
              <w:t xml:space="preserve"> </w:t>
            </w:r>
          </w:p>
        </w:tc>
        <w:tc>
          <w:tcPr>
            <w:tcW w:w="1357" w:type="pct"/>
            <w:shd w:val="clear" w:color="auto" w:fill="auto"/>
          </w:tcPr>
          <w:p w14:paraId="01C583C7" w14:textId="77777777" w:rsidR="004D1524" w:rsidRPr="00F0797D" w:rsidRDefault="004D1524" w:rsidP="00483E52">
            <w:pPr>
              <w:jc w:val="center"/>
              <w:rPr>
                <w:rFonts w:ascii="Calibri" w:hAnsi="Calibri" w:cs="Calibri"/>
                <w:b/>
                <w:lang w:val="es-ES"/>
              </w:rPr>
            </w:pPr>
            <w:r w:rsidRPr="00F0797D">
              <w:rPr>
                <w:rFonts w:ascii="Calibri" w:hAnsi="Calibri" w:cs="Calibri"/>
                <w:b/>
                <w:lang w:val="es-ES"/>
              </w:rPr>
              <w:t>Narrative Clarification</w:t>
            </w:r>
          </w:p>
        </w:tc>
      </w:tr>
      <w:tr w:rsidR="004D1524" w:rsidRPr="00F0797D" w14:paraId="6302207B" w14:textId="77777777" w:rsidTr="00483E52">
        <w:tc>
          <w:tcPr>
            <w:tcW w:w="1282" w:type="pct"/>
            <w:shd w:val="clear" w:color="auto" w:fill="auto"/>
          </w:tcPr>
          <w:p w14:paraId="3A28BA22" w14:textId="77777777" w:rsidR="004D1524" w:rsidRPr="00F0797D" w:rsidRDefault="004D1524" w:rsidP="00483E52">
            <w:pPr>
              <w:rPr>
                <w:rFonts w:ascii="Calibri" w:hAnsi="Calibri" w:cs="Calibri"/>
                <w:szCs w:val="22"/>
              </w:rPr>
            </w:pPr>
          </w:p>
          <w:p w14:paraId="477974E8" w14:textId="77777777" w:rsidR="004D1524" w:rsidRPr="00F0797D" w:rsidRDefault="004D1524" w:rsidP="00483E52">
            <w:pPr>
              <w:rPr>
                <w:rFonts w:ascii="Calibri" w:hAnsi="Calibri" w:cs="Calibri"/>
                <w:szCs w:val="22"/>
              </w:rPr>
            </w:pPr>
            <w:r w:rsidRPr="00F0797D">
              <w:rPr>
                <w:rFonts w:ascii="Calibri" w:hAnsi="Calibri" w:cs="Calibri"/>
                <w:szCs w:val="22"/>
              </w:rPr>
              <w:t xml:space="preserve">C.1 The rights of members of local communities are respected throughout the implementation of </w:t>
            </w:r>
            <w:r>
              <w:rPr>
                <w:rFonts w:ascii="Calibri" w:hAnsi="Calibri" w:cs="Calibri"/>
                <w:szCs w:val="22"/>
              </w:rPr>
              <w:t>REDD+</w:t>
            </w:r>
          </w:p>
          <w:p w14:paraId="1986B7DC" w14:textId="77777777" w:rsidR="004D1524" w:rsidRPr="00F0797D" w:rsidRDefault="004D1524" w:rsidP="00483E52">
            <w:pPr>
              <w:pStyle w:val="ListParagraph"/>
              <w:rPr>
                <w:rFonts w:cs="Calibri"/>
                <w:szCs w:val="22"/>
              </w:rPr>
            </w:pPr>
          </w:p>
        </w:tc>
        <w:tc>
          <w:tcPr>
            <w:tcW w:w="2361" w:type="pct"/>
            <w:shd w:val="clear" w:color="auto" w:fill="auto"/>
          </w:tcPr>
          <w:p w14:paraId="604822A6" w14:textId="77777777" w:rsidR="004D1524" w:rsidRPr="00F0797D" w:rsidRDefault="004D1524" w:rsidP="00483E52">
            <w:pPr>
              <w:pStyle w:val="ListParagraph"/>
              <w:pBdr>
                <w:top w:val="nil"/>
                <w:left w:val="nil"/>
                <w:bottom w:val="nil"/>
                <w:right w:val="nil"/>
                <w:between w:val="nil"/>
              </w:pBdr>
              <w:spacing w:after="200" w:line="252" w:lineRule="auto"/>
              <w:ind w:left="0"/>
              <w:rPr>
                <w:rFonts w:cs="Calibri"/>
                <w:szCs w:val="22"/>
              </w:rPr>
            </w:pPr>
            <w:r w:rsidRPr="00F0797D">
              <w:rPr>
                <w:rFonts w:cs="Calibri"/>
                <w:szCs w:val="22"/>
              </w:rPr>
              <w:t xml:space="preserve">The existence of local communities is recognized in the Constitution of Ghana </w:t>
            </w:r>
            <w:r w:rsidRPr="00F0797D">
              <w:rPr>
                <w:rStyle w:val="FootnoteReference"/>
                <w:rFonts w:cs="Calibri"/>
                <w:szCs w:val="22"/>
              </w:rPr>
              <w:footnoteReference w:id="59"/>
            </w:r>
            <w:r w:rsidRPr="0019554D">
              <w:rPr>
                <w:rFonts w:cs="Calibri"/>
                <w:szCs w:val="22"/>
              </w:rPr>
              <w:t xml:space="preserve">. </w:t>
            </w:r>
            <w:r w:rsidRPr="00F0797D">
              <w:rPr>
                <w:rFonts w:cs="Calibri"/>
                <w:szCs w:val="22"/>
              </w:rPr>
              <w:t xml:space="preserve"> </w:t>
            </w:r>
            <w:r w:rsidRPr="0019554D">
              <w:rPr>
                <w:rFonts w:cs="Calibri"/>
                <w:szCs w:val="22"/>
              </w:rPr>
              <w:t>I</w:t>
            </w:r>
            <w:r w:rsidRPr="00F0797D">
              <w:rPr>
                <w:rFonts w:cs="Calibri"/>
                <w:szCs w:val="22"/>
              </w:rPr>
              <w:t>t acknowledges that they are governed by customary law</w:t>
            </w:r>
            <w:r w:rsidRPr="00F0797D">
              <w:rPr>
                <w:rStyle w:val="FootnoteReference"/>
                <w:rFonts w:cs="Calibri"/>
                <w:szCs w:val="22"/>
              </w:rPr>
              <w:footnoteReference w:id="60"/>
            </w:r>
            <w:r w:rsidRPr="00F0797D">
              <w:rPr>
                <w:rFonts w:cs="Calibri"/>
                <w:szCs w:val="22"/>
              </w:rPr>
              <w:t xml:space="preserve"> particular to them alone,  and are  subjects  of  a  Chief  that  rules  over  them  on  the  basis  of  a  set  of  customary  laws.</w:t>
            </w:r>
            <w:r w:rsidRPr="00F0797D">
              <w:rPr>
                <w:rStyle w:val="FootnoteReference"/>
                <w:rFonts w:cs="Calibri"/>
                <w:szCs w:val="22"/>
              </w:rPr>
              <w:footnoteReference w:id="61"/>
            </w:r>
          </w:p>
          <w:p w14:paraId="4A662F31" w14:textId="77777777" w:rsidR="004D1524" w:rsidRPr="00F0797D" w:rsidRDefault="004D1524" w:rsidP="00483E52">
            <w:pPr>
              <w:pStyle w:val="ListParagraph"/>
              <w:pBdr>
                <w:top w:val="nil"/>
                <w:left w:val="nil"/>
                <w:bottom w:val="nil"/>
                <w:right w:val="nil"/>
                <w:between w:val="nil"/>
              </w:pBdr>
              <w:spacing w:after="200" w:line="252" w:lineRule="auto"/>
              <w:ind w:left="0"/>
              <w:rPr>
                <w:rFonts w:cs="Calibri"/>
                <w:szCs w:val="22"/>
              </w:rPr>
            </w:pPr>
            <w:r w:rsidRPr="00F0797D">
              <w:rPr>
                <w:rFonts w:cs="Calibri"/>
                <w:szCs w:val="22"/>
              </w:rPr>
              <w:t xml:space="preserve">The  Timber  Resource  Management  Regulations uses  the  term  “forest  fringe  communities and  inhabitants” for local communities,  and requires that  they  are  consulted  and  Social  Responsibility  Agreement  negotiated  as  part  of  the  requirement  for  the  grant  of  a  timber  utilization  contract. </w:t>
            </w:r>
            <w:r w:rsidRPr="00F0797D">
              <w:rPr>
                <w:rStyle w:val="FootnoteReference"/>
                <w:rFonts w:cs="Calibri"/>
                <w:szCs w:val="22"/>
              </w:rPr>
              <w:footnoteReference w:id="62"/>
            </w:r>
          </w:p>
          <w:p w14:paraId="4D2D526D" w14:textId="77777777" w:rsidR="004D1524" w:rsidRDefault="004D1524" w:rsidP="00483E52">
            <w:pPr>
              <w:rPr>
                <w:rFonts w:ascii="Calibri" w:hAnsi="Calibri" w:cs="Calibri"/>
                <w:szCs w:val="22"/>
              </w:rPr>
            </w:pPr>
            <w:r w:rsidRPr="00F0797D">
              <w:rPr>
                <w:rFonts w:ascii="Calibri" w:hAnsi="Calibri" w:cs="Calibri"/>
                <w:szCs w:val="22"/>
              </w:rPr>
              <w:t>Traditional authorities, such as the national and regional House of Chiefs and traditional councils are officially recognised and have a degree of autonomy,</w:t>
            </w:r>
            <w:r w:rsidRPr="00F0797D">
              <w:rPr>
                <w:rStyle w:val="FootnoteReference"/>
                <w:rFonts w:ascii="Calibri" w:hAnsi="Calibri" w:cs="Calibri"/>
                <w:szCs w:val="22"/>
              </w:rPr>
              <w:footnoteReference w:id="63"/>
            </w:r>
            <w:r w:rsidRPr="00F0797D">
              <w:rPr>
                <w:rFonts w:ascii="Calibri" w:hAnsi="Calibri" w:cs="Calibri"/>
                <w:szCs w:val="22"/>
              </w:rPr>
              <w:t xml:space="preserve"> including in terms of arbitration.</w:t>
            </w:r>
            <w:r w:rsidRPr="00F0797D">
              <w:rPr>
                <w:rStyle w:val="FootnoteReference"/>
                <w:rFonts w:ascii="Calibri" w:hAnsi="Calibri" w:cs="Calibri"/>
                <w:szCs w:val="22"/>
              </w:rPr>
              <w:footnoteReference w:id="64"/>
            </w:r>
            <w:r w:rsidRPr="00F0797D">
              <w:rPr>
                <w:rFonts w:ascii="Calibri" w:hAnsi="Calibri" w:cs="Calibri"/>
                <w:szCs w:val="22"/>
              </w:rPr>
              <w:t xml:space="preserve"> Certain collective rights, such as timber rights, are also recognised.</w:t>
            </w:r>
            <w:r w:rsidRPr="00F0797D">
              <w:rPr>
                <w:rStyle w:val="FootnoteReference"/>
                <w:rFonts w:ascii="Calibri" w:hAnsi="Calibri" w:cs="Calibri"/>
                <w:szCs w:val="22"/>
              </w:rPr>
              <w:footnoteReference w:id="65"/>
            </w:r>
          </w:p>
          <w:p w14:paraId="5EC00174" w14:textId="77777777" w:rsidR="004D1524" w:rsidRPr="00F0797D" w:rsidRDefault="004D1524" w:rsidP="00483E52">
            <w:pPr>
              <w:rPr>
                <w:rFonts w:ascii="Calibri" w:hAnsi="Calibri" w:cs="Calibri"/>
                <w:szCs w:val="22"/>
              </w:rPr>
            </w:pPr>
          </w:p>
        </w:tc>
        <w:tc>
          <w:tcPr>
            <w:tcW w:w="1357" w:type="pct"/>
            <w:vMerge w:val="restart"/>
            <w:shd w:val="clear" w:color="auto" w:fill="auto"/>
          </w:tcPr>
          <w:p w14:paraId="0704A186" w14:textId="77777777" w:rsidR="004D1524" w:rsidRPr="00F0797D" w:rsidRDefault="004D1524" w:rsidP="00483E52">
            <w:pPr>
              <w:rPr>
                <w:rFonts w:ascii="Calibri" w:hAnsi="Calibri" w:cs="Calibri"/>
                <w:szCs w:val="22"/>
              </w:rPr>
            </w:pPr>
            <w:r w:rsidRPr="00F0797D" w:rsidDel="00626871">
              <w:rPr>
                <w:rFonts w:ascii="Calibri" w:hAnsi="Calibri" w:cs="Calibri"/>
                <w:szCs w:val="22"/>
              </w:rPr>
              <w:t xml:space="preserve"> </w:t>
            </w:r>
            <w:r w:rsidRPr="00F0797D">
              <w:rPr>
                <w:rFonts w:ascii="Calibri" w:hAnsi="Calibri" w:cs="Calibri"/>
                <w:b/>
                <w:szCs w:val="22"/>
              </w:rPr>
              <w:t>The rights of members of local and forest fringe communities, including - protection against discrimination, recognition of traditional authorities and customary rights, recognition of community dispute settlement  and traditional knowledge - are promoted and regulated throughout the implementation of REDD+ interventions.</w:t>
            </w:r>
          </w:p>
          <w:p w14:paraId="57B5581C" w14:textId="77777777" w:rsidR="004D1524" w:rsidRPr="00F0797D" w:rsidRDefault="004D1524" w:rsidP="00483E52">
            <w:pPr>
              <w:rPr>
                <w:rFonts w:ascii="Calibri" w:hAnsi="Calibri" w:cs="Calibri"/>
                <w:szCs w:val="22"/>
              </w:rPr>
            </w:pPr>
          </w:p>
        </w:tc>
      </w:tr>
      <w:tr w:rsidR="004D1524" w:rsidRPr="00F0797D" w14:paraId="001C1D83" w14:textId="77777777" w:rsidTr="00483E52">
        <w:tc>
          <w:tcPr>
            <w:tcW w:w="1282" w:type="pct"/>
            <w:shd w:val="clear" w:color="auto" w:fill="auto"/>
          </w:tcPr>
          <w:p w14:paraId="63A5079E" w14:textId="77777777" w:rsidR="004D1524" w:rsidRPr="00F0797D" w:rsidRDefault="004D1524" w:rsidP="00483E52">
            <w:pPr>
              <w:rPr>
                <w:rFonts w:ascii="Calibri" w:hAnsi="Calibri" w:cs="Calibri"/>
                <w:szCs w:val="22"/>
              </w:rPr>
            </w:pPr>
            <w:r w:rsidRPr="00F0797D">
              <w:rPr>
                <w:rFonts w:ascii="Calibri" w:hAnsi="Calibri" w:cs="Calibri"/>
                <w:szCs w:val="22"/>
              </w:rPr>
              <w:t xml:space="preserve">C.2 Traditional knowledge is recognised and protected throughout the implementation of </w:t>
            </w:r>
            <w:r>
              <w:rPr>
                <w:rFonts w:ascii="Calibri" w:hAnsi="Calibri" w:cs="Calibri"/>
                <w:szCs w:val="22"/>
              </w:rPr>
              <w:t>REDD+</w:t>
            </w:r>
          </w:p>
        </w:tc>
        <w:tc>
          <w:tcPr>
            <w:tcW w:w="2361" w:type="pct"/>
            <w:shd w:val="clear" w:color="auto" w:fill="auto"/>
          </w:tcPr>
          <w:p w14:paraId="4D2218AE" w14:textId="77777777" w:rsidR="004D1524" w:rsidRPr="00F0797D" w:rsidRDefault="004D1524" w:rsidP="00483E52">
            <w:pPr>
              <w:pStyle w:val="ListParagraph"/>
              <w:ind w:left="0"/>
              <w:rPr>
                <w:rFonts w:cs="Calibri"/>
                <w:szCs w:val="22"/>
              </w:rPr>
            </w:pPr>
            <w:r w:rsidRPr="00F0797D">
              <w:rPr>
                <w:rFonts w:cs="Calibri"/>
                <w:szCs w:val="22"/>
              </w:rPr>
              <w:t xml:space="preserve">The Constitution  refers  to  the traditional  knowledge  of  local  communities. </w:t>
            </w:r>
            <w:r w:rsidRPr="00F0797D">
              <w:rPr>
                <w:rStyle w:val="FootnoteReference"/>
                <w:rFonts w:cs="Calibri"/>
                <w:szCs w:val="22"/>
              </w:rPr>
              <w:footnoteReference w:id="66"/>
            </w:r>
            <w:r w:rsidRPr="00F0797D">
              <w:rPr>
                <w:rFonts w:cs="Calibri"/>
                <w:szCs w:val="22"/>
              </w:rPr>
              <w:t xml:space="preserve"> Morevover, it provides in general that every person is entitled to enjoy, practice, profess, maintain and promote any culture, language, tradition or religion.</w:t>
            </w:r>
            <w:r w:rsidRPr="00F0797D">
              <w:rPr>
                <w:rFonts w:cs="Calibri"/>
                <w:szCs w:val="22"/>
                <w:vertAlign w:val="superscript"/>
              </w:rPr>
              <w:t xml:space="preserve"> </w:t>
            </w:r>
            <w:r w:rsidRPr="00F0797D">
              <w:rPr>
                <w:rFonts w:cs="Calibri"/>
                <w:szCs w:val="22"/>
                <w:vertAlign w:val="superscript"/>
              </w:rPr>
              <w:footnoteReference w:id="67"/>
            </w:r>
          </w:p>
          <w:p w14:paraId="3019B4B6" w14:textId="77777777" w:rsidR="004D1524" w:rsidRPr="00F0797D" w:rsidRDefault="004D1524" w:rsidP="00483E52">
            <w:pPr>
              <w:rPr>
                <w:rFonts w:ascii="Calibri" w:hAnsi="Calibri" w:cs="Calibri"/>
                <w:szCs w:val="22"/>
              </w:rPr>
            </w:pPr>
          </w:p>
          <w:p w14:paraId="65367A5D" w14:textId="77777777" w:rsidR="004D1524" w:rsidRDefault="004D1524" w:rsidP="00483E52">
            <w:pPr>
              <w:rPr>
                <w:rFonts w:ascii="Calibri" w:hAnsi="Calibri" w:cs="Calibri"/>
                <w:szCs w:val="22"/>
              </w:rPr>
            </w:pPr>
            <w:r w:rsidRPr="00F0797D">
              <w:rPr>
                <w:rFonts w:ascii="Calibri" w:hAnsi="Calibri" w:cs="Calibri"/>
                <w:szCs w:val="22"/>
              </w:rPr>
              <w:t>Traditional authorities in Ghana are deemed to be the custodians, interpreters and enforcers of customs and usages of local communities.</w:t>
            </w:r>
          </w:p>
          <w:p w14:paraId="7601303A" w14:textId="77777777" w:rsidR="004D1524" w:rsidRPr="00F0797D" w:rsidRDefault="004D1524" w:rsidP="00483E52">
            <w:pPr>
              <w:rPr>
                <w:rFonts w:ascii="Calibri" w:hAnsi="Calibri" w:cs="Calibri"/>
                <w:szCs w:val="22"/>
              </w:rPr>
            </w:pPr>
          </w:p>
        </w:tc>
        <w:tc>
          <w:tcPr>
            <w:tcW w:w="1357" w:type="pct"/>
            <w:vMerge/>
            <w:shd w:val="clear" w:color="auto" w:fill="auto"/>
          </w:tcPr>
          <w:p w14:paraId="26A4173C" w14:textId="77777777" w:rsidR="004D1524" w:rsidRPr="00F0797D" w:rsidRDefault="004D1524" w:rsidP="00483E52">
            <w:pPr>
              <w:rPr>
                <w:rFonts w:ascii="Calibri" w:hAnsi="Calibri" w:cs="Calibri"/>
              </w:rPr>
            </w:pPr>
          </w:p>
        </w:tc>
      </w:tr>
    </w:tbl>
    <w:p w14:paraId="51A4CD5B" w14:textId="77777777" w:rsidR="004D1524" w:rsidRPr="00F0797D" w:rsidRDefault="004D1524" w:rsidP="004D1524">
      <w:pPr>
        <w:rPr>
          <w:rFonts w:ascii="Calibri" w:hAnsi="Calibri" w:cs="Calibri"/>
          <w:i/>
          <w:szCs w:val="22"/>
        </w:rPr>
      </w:pPr>
    </w:p>
    <w:p w14:paraId="3A6700B0" w14:textId="77777777" w:rsidR="004D1524" w:rsidRPr="00F0797D" w:rsidRDefault="004D1524" w:rsidP="004D1524">
      <w:pPr>
        <w:rPr>
          <w:rFonts w:ascii="Calibri" w:hAnsi="Calibri" w:cs="Calibri"/>
          <w:i/>
          <w:szCs w:val="22"/>
        </w:rPr>
      </w:pPr>
    </w:p>
    <w:p w14:paraId="1C9245FE" w14:textId="77777777" w:rsidR="004D1524" w:rsidRPr="00F0797D" w:rsidRDefault="004D1524" w:rsidP="004D1524">
      <w:pPr>
        <w:rPr>
          <w:rFonts w:ascii="Calibri" w:hAnsi="Calibri" w:cs="Calibri"/>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6587"/>
        <w:gridCol w:w="3786"/>
      </w:tblGrid>
      <w:tr w:rsidR="004D1524" w:rsidRPr="00F0797D" w14:paraId="45BDAC62" w14:textId="77777777" w:rsidTr="00483E52">
        <w:tc>
          <w:tcPr>
            <w:tcW w:w="5000" w:type="pct"/>
            <w:gridSpan w:val="3"/>
            <w:shd w:val="clear" w:color="auto" w:fill="E2EFD9"/>
          </w:tcPr>
          <w:p w14:paraId="3293E3E3" w14:textId="77777777" w:rsidR="004D1524" w:rsidRPr="00F0797D" w:rsidRDefault="004D1524" w:rsidP="00483E52">
            <w:pPr>
              <w:rPr>
                <w:rFonts w:ascii="Calibri" w:hAnsi="Calibri" w:cs="Calibri"/>
                <w:b/>
              </w:rPr>
            </w:pPr>
          </w:p>
          <w:p w14:paraId="6E9A414C" w14:textId="77777777" w:rsidR="004D1524" w:rsidRPr="00F0797D" w:rsidRDefault="004D1524" w:rsidP="00483E52">
            <w:pPr>
              <w:rPr>
                <w:rFonts w:ascii="Calibri" w:hAnsi="Calibri" w:cs="Calibri"/>
                <w:b/>
              </w:rPr>
            </w:pPr>
            <w:r w:rsidRPr="00F0797D">
              <w:rPr>
                <w:rFonts w:ascii="Calibri" w:hAnsi="Calibri" w:cs="Calibri"/>
                <w:b/>
              </w:rPr>
              <w:t>UNFCCC REDD+ Safeguard D:</w:t>
            </w:r>
            <w:r w:rsidRPr="00F0797D">
              <w:rPr>
                <w:rFonts w:ascii="Calibri" w:hAnsi="Calibri" w:cs="Calibri"/>
              </w:rPr>
              <w:t xml:space="preserve"> ‘</w:t>
            </w:r>
            <w:r w:rsidRPr="00F0797D">
              <w:rPr>
                <w:rFonts w:ascii="Calibri" w:hAnsi="Calibri" w:cs="Calibri"/>
                <w:b/>
              </w:rPr>
              <w:t>The full and effective participation of relevant stakeholders, in particular indigenous peoples and local communities, in the actions referred to in paragraphs 70 and 72 of this decision</w:t>
            </w:r>
          </w:p>
          <w:p w14:paraId="2EC7E58A" w14:textId="77777777" w:rsidR="004D1524" w:rsidRPr="00F0797D" w:rsidRDefault="004D1524" w:rsidP="00483E52">
            <w:pPr>
              <w:rPr>
                <w:rFonts w:ascii="Calibri" w:hAnsi="Calibri" w:cs="Calibri"/>
                <w:b/>
              </w:rPr>
            </w:pPr>
          </w:p>
        </w:tc>
      </w:tr>
      <w:tr w:rsidR="004D1524" w:rsidRPr="00F0797D" w14:paraId="7FB72AFD" w14:textId="77777777" w:rsidTr="00483E52">
        <w:tc>
          <w:tcPr>
            <w:tcW w:w="1282" w:type="pct"/>
            <w:shd w:val="clear" w:color="auto" w:fill="auto"/>
          </w:tcPr>
          <w:p w14:paraId="188B0FDC" w14:textId="77777777" w:rsidR="004D1524" w:rsidRPr="00F0797D" w:rsidRDefault="004D1524" w:rsidP="00483E52">
            <w:pPr>
              <w:jc w:val="center"/>
              <w:rPr>
                <w:rFonts w:ascii="Calibri" w:hAnsi="Calibri" w:cs="Calibri"/>
                <w:b/>
                <w:lang w:val="es-ES"/>
              </w:rPr>
            </w:pPr>
            <w:r w:rsidRPr="00F0797D">
              <w:rPr>
                <w:rFonts w:ascii="Calibri" w:hAnsi="Calibri" w:cs="Calibri"/>
                <w:b/>
                <w:lang w:val="es-ES"/>
              </w:rPr>
              <w:t>Core elements</w:t>
            </w:r>
          </w:p>
        </w:tc>
        <w:tc>
          <w:tcPr>
            <w:tcW w:w="2361" w:type="pct"/>
            <w:shd w:val="clear" w:color="auto" w:fill="auto"/>
          </w:tcPr>
          <w:p w14:paraId="29EC1FBF" w14:textId="77777777" w:rsidR="004D1524" w:rsidRPr="00F0797D" w:rsidRDefault="004D1524" w:rsidP="00483E52">
            <w:pPr>
              <w:jc w:val="center"/>
              <w:rPr>
                <w:rFonts w:ascii="Calibri" w:hAnsi="Calibri" w:cs="Calibri"/>
                <w:b/>
                <w:lang w:val="es-ES"/>
              </w:rPr>
            </w:pPr>
            <w:r w:rsidRPr="00F0797D">
              <w:rPr>
                <w:rFonts w:ascii="Calibri" w:hAnsi="Calibri" w:cs="Calibri"/>
                <w:b/>
                <w:lang w:val="es-ES"/>
              </w:rPr>
              <w:t>Legal basis</w:t>
            </w:r>
          </w:p>
        </w:tc>
        <w:tc>
          <w:tcPr>
            <w:tcW w:w="1357" w:type="pct"/>
            <w:shd w:val="clear" w:color="auto" w:fill="auto"/>
          </w:tcPr>
          <w:p w14:paraId="628ABE66" w14:textId="77777777" w:rsidR="004D1524" w:rsidRPr="00F0797D" w:rsidRDefault="004D1524" w:rsidP="00483E52">
            <w:pPr>
              <w:jc w:val="center"/>
              <w:rPr>
                <w:rFonts w:ascii="Calibri" w:hAnsi="Calibri" w:cs="Calibri"/>
                <w:b/>
                <w:lang w:val="es-ES"/>
              </w:rPr>
            </w:pPr>
            <w:r w:rsidRPr="00F0797D">
              <w:rPr>
                <w:rFonts w:ascii="Calibri" w:hAnsi="Calibri" w:cs="Calibri"/>
                <w:b/>
                <w:lang w:val="es-ES"/>
              </w:rPr>
              <w:t>Narrative Clarification</w:t>
            </w:r>
          </w:p>
        </w:tc>
      </w:tr>
      <w:tr w:rsidR="004D1524" w:rsidRPr="00F0797D" w14:paraId="0D959869" w14:textId="77777777" w:rsidTr="00483E52">
        <w:trPr>
          <w:trHeight w:val="296"/>
        </w:trPr>
        <w:tc>
          <w:tcPr>
            <w:tcW w:w="1282" w:type="pct"/>
            <w:shd w:val="clear" w:color="auto" w:fill="auto"/>
          </w:tcPr>
          <w:p w14:paraId="30F9273E" w14:textId="77777777" w:rsidR="004D1524" w:rsidRPr="00F0797D" w:rsidRDefault="004D1524" w:rsidP="00483E52">
            <w:pPr>
              <w:rPr>
                <w:rFonts w:ascii="Calibri" w:hAnsi="Calibri" w:cs="Calibri"/>
                <w:szCs w:val="22"/>
              </w:rPr>
            </w:pPr>
          </w:p>
          <w:p w14:paraId="61634EC3" w14:textId="77777777" w:rsidR="004D1524" w:rsidRPr="00F0797D" w:rsidRDefault="004D1524" w:rsidP="00483E52">
            <w:pPr>
              <w:rPr>
                <w:rFonts w:ascii="Calibri" w:hAnsi="Calibri" w:cs="Calibri"/>
                <w:szCs w:val="22"/>
              </w:rPr>
            </w:pPr>
            <w:r w:rsidRPr="00F0797D">
              <w:rPr>
                <w:rFonts w:ascii="Calibri" w:hAnsi="Calibri" w:cs="Calibri"/>
                <w:szCs w:val="22"/>
              </w:rPr>
              <w:t xml:space="preserve">D.1 The right to participate in the implementation of </w:t>
            </w:r>
            <w:r>
              <w:rPr>
                <w:rFonts w:ascii="Calibri" w:hAnsi="Calibri" w:cs="Calibri"/>
                <w:szCs w:val="22"/>
              </w:rPr>
              <w:t xml:space="preserve">REDD+ </w:t>
            </w:r>
            <w:r w:rsidRPr="00F0797D">
              <w:rPr>
                <w:rFonts w:ascii="Calibri" w:hAnsi="Calibri" w:cs="Calibri"/>
                <w:szCs w:val="22"/>
              </w:rPr>
              <w:t xml:space="preserve">is recognised and promoted. </w:t>
            </w:r>
          </w:p>
          <w:p w14:paraId="39D1757E" w14:textId="77777777" w:rsidR="004D1524" w:rsidRPr="00F0797D" w:rsidRDefault="004D1524" w:rsidP="00483E52">
            <w:pPr>
              <w:rPr>
                <w:rFonts w:ascii="Calibri" w:hAnsi="Calibri" w:cs="Calibri"/>
                <w:szCs w:val="22"/>
              </w:rPr>
            </w:pPr>
          </w:p>
          <w:p w14:paraId="339536C5" w14:textId="77777777" w:rsidR="004D1524" w:rsidRPr="00F0797D" w:rsidRDefault="004D1524" w:rsidP="00483E52">
            <w:pPr>
              <w:rPr>
                <w:rFonts w:ascii="Calibri" w:hAnsi="Calibri" w:cs="Calibri"/>
                <w:szCs w:val="22"/>
              </w:rPr>
            </w:pPr>
          </w:p>
          <w:p w14:paraId="7E62EECA" w14:textId="77777777" w:rsidR="004D1524" w:rsidRPr="00F0797D" w:rsidRDefault="004D1524" w:rsidP="00483E52">
            <w:pPr>
              <w:rPr>
                <w:rFonts w:ascii="Calibri" w:hAnsi="Calibri" w:cs="Calibri"/>
                <w:szCs w:val="22"/>
              </w:rPr>
            </w:pPr>
          </w:p>
          <w:p w14:paraId="346FC9AC" w14:textId="77777777" w:rsidR="004D1524" w:rsidRPr="00F0797D" w:rsidRDefault="004D1524" w:rsidP="00483E52">
            <w:pPr>
              <w:rPr>
                <w:rFonts w:ascii="Calibri" w:hAnsi="Calibri" w:cs="Calibri"/>
                <w:szCs w:val="22"/>
              </w:rPr>
            </w:pPr>
          </w:p>
        </w:tc>
        <w:tc>
          <w:tcPr>
            <w:tcW w:w="2361" w:type="pct"/>
            <w:shd w:val="clear" w:color="auto" w:fill="auto"/>
          </w:tcPr>
          <w:p w14:paraId="3F98A2ED" w14:textId="77777777" w:rsidR="004D1524" w:rsidRPr="00F0797D" w:rsidRDefault="004D1524" w:rsidP="00483E52">
            <w:pPr>
              <w:pStyle w:val="ListParagraph"/>
              <w:ind w:left="0"/>
              <w:rPr>
                <w:rFonts w:cs="Calibri"/>
                <w:szCs w:val="22"/>
              </w:rPr>
            </w:pPr>
            <w:r w:rsidRPr="00F0797D">
              <w:rPr>
                <w:rFonts w:cs="Calibri"/>
                <w:szCs w:val="22"/>
              </w:rPr>
              <w:t>The  Constitution recognises and guarantees generally the public’s right to participate in policy making.</w:t>
            </w:r>
            <w:r w:rsidRPr="00F0797D">
              <w:rPr>
                <w:rFonts w:cs="Calibri"/>
                <w:szCs w:val="22"/>
                <w:vertAlign w:val="superscript"/>
              </w:rPr>
              <w:footnoteReference w:id="68"/>
            </w:r>
            <w:r w:rsidRPr="0019554D">
              <w:rPr>
                <w:rFonts w:cs="Calibri"/>
                <w:szCs w:val="22"/>
              </w:rPr>
              <w:t xml:space="preserve"> </w:t>
            </w:r>
            <w:r w:rsidRPr="00F0797D">
              <w:rPr>
                <w:rFonts w:cs="Calibri"/>
                <w:szCs w:val="22"/>
              </w:rPr>
              <w:t>There is a  defined  system  of  public  participation  in  Environmental  Impact  Assessments  through  the  instrumentality  of  Public  Hearings,  which  gives  all  stakeholders  on  a  forest  land  the  right  to  determine  the  use  to  which  their  land  is  being  put.</w:t>
            </w:r>
            <w:r w:rsidRPr="00F0797D">
              <w:rPr>
                <w:rStyle w:val="FootnoteReference"/>
                <w:rFonts w:cs="Calibri"/>
                <w:szCs w:val="22"/>
              </w:rPr>
              <w:footnoteReference w:id="69"/>
            </w:r>
          </w:p>
          <w:p w14:paraId="5DAF36F6" w14:textId="77777777" w:rsidR="004D1524" w:rsidRPr="00F0797D" w:rsidRDefault="004D1524" w:rsidP="00483E52">
            <w:pPr>
              <w:pStyle w:val="ListParagraph"/>
              <w:ind w:left="0"/>
              <w:rPr>
                <w:rFonts w:cs="Calibri"/>
                <w:szCs w:val="22"/>
              </w:rPr>
            </w:pPr>
          </w:p>
          <w:p w14:paraId="25DC658B" w14:textId="77777777" w:rsidR="004D1524" w:rsidRPr="00F0797D" w:rsidRDefault="004D1524" w:rsidP="00483E52">
            <w:pPr>
              <w:pStyle w:val="ListParagraph"/>
              <w:ind w:left="0"/>
              <w:rPr>
                <w:rFonts w:cs="Calibri"/>
                <w:szCs w:val="22"/>
              </w:rPr>
            </w:pPr>
            <w:r w:rsidRPr="00F0797D">
              <w:rPr>
                <w:rFonts w:cs="Calibri"/>
                <w:szCs w:val="22"/>
              </w:rPr>
              <w:t>The Forest and Wildlife Policy of Ghana</w:t>
            </w:r>
            <w:r w:rsidRPr="00F0797D">
              <w:rPr>
                <w:rFonts w:cs="Calibri"/>
                <w:szCs w:val="22"/>
                <w:vertAlign w:val="superscript"/>
              </w:rPr>
              <w:footnoteReference w:id="70"/>
            </w:r>
            <w:r w:rsidRPr="00F0797D">
              <w:rPr>
                <w:rFonts w:cs="Calibri"/>
                <w:szCs w:val="22"/>
              </w:rPr>
              <w:t xml:space="preserve"> makes provision for the building of the capacities of institutions, including community enterprises as part of ensuring good governance in the management of timber resources.</w:t>
            </w:r>
          </w:p>
        </w:tc>
        <w:tc>
          <w:tcPr>
            <w:tcW w:w="1357" w:type="pct"/>
            <w:vMerge w:val="restart"/>
            <w:shd w:val="clear" w:color="auto" w:fill="auto"/>
          </w:tcPr>
          <w:p w14:paraId="133047BC" w14:textId="77777777" w:rsidR="004D1524" w:rsidRPr="00F0797D" w:rsidRDefault="004D1524" w:rsidP="00483E52">
            <w:pPr>
              <w:tabs>
                <w:tab w:val="left" w:pos="480"/>
              </w:tabs>
              <w:rPr>
                <w:rFonts w:ascii="Calibri" w:hAnsi="Calibri" w:cs="Calibri"/>
                <w:szCs w:val="22"/>
              </w:rPr>
            </w:pPr>
          </w:p>
          <w:p w14:paraId="3E3CC0A7" w14:textId="77777777" w:rsidR="004D1524" w:rsidRPr="00F0797D" w:rsidRDefault="004D1524" w:rsidP="00483E52">
            <w:pPr>
              <w:tabs>
                <w:tab w:val="left" w:pos="480"/>
              </w:tabs>
              <w:rPr>
                <w:rFonts w:ascii="Calibri" w:hAnsi="Calibri" w:cs="Calibri"/>
                <w:b/>
                <w:szCs w:val="22"/>
              </w:rPr>
            </w:pPr>
            <w:r w:rsidRPr="00F0797D">
              <w:rPr>
                <w:rFonts w:ascii="Calibri" w:hAnsi="Calibri" w:cs="Calibri"/>
                <w:b/>
                <w:szCs w:val="22"/>
              </w:rPr>
              <w:t xml:space="preserve">The right to full and effective participation of relevant stakeholders is recognised and promoted throughout the design and implementation of REDD+ interventions– including the use of appropriate participatory mechanisms and due consideration of the inputs received. </w:t>
            </w:r>
          </w:p>
          <w:p w14:paraId="3BB799D7" w14:textId="77777777" w:rsidR="004D1524" w:rsidRPr="00F0797D" w:rsidRDefault="004D1524" w:rsidP="00483E52">
            <w:pPr>
              <w:tabs>
                <w:tab w:val="left" w:pos="480"/>
              </w:tabs>
              <w:rPr>
                <w:rFonts w:ascii="Calibri" w:hAnsi="Calibri" w:cs="Calibri"/>
                <w:szCs w:val="22"/>
              </w:rPr>
            </w:pPr>
          </w:p>
        </w:tc>
      </w:tr>
      <w:tr w:rsidR="004D1524" w:rsidRPr="00F0797D" w14:paraId="115387F0" w14:textId="77777777" w:rsidTr="00483E52">
        <w:tc>
          <w:tcPr>
            <w:tcW w:w="1282" w:type="pct"/>
            <w:shd w:val="clear" w:color="auto" w:fill="auto"/>
          </w:tcPr>
          <w:p w14:paraId="3F04BCAD" w14:textId="77777777" w:rsidR="004D1524" w:rsidRPr="00F0797D" w:rsidRDefault="004D1524" w:rsidP="00483E52">
            <w:pPr>
              <w:rPr>
                <w:rFonts w:ascii="Calibri" w:hAnsi="Calibri" w:cs="Calibri"/>
                <w:szCs w:val="22"/>
              </w:rPr>
            </w:pPr>
          </w:p>
          <w:p w14:paraId="33C70C18" w14:textId="77777777" w:rsidR="004D1524" w:rsidRPr="00F0797D" w:rsidRDefault="004D1524" w:rsidP="00483E52">
            <w:pPr>
              <w:rPr>
                <w:rFonts w:ascii="Calibri" w:hAnsi="Calibri" w:cs="Calibri"/>
                <w:szCs w:val="22"/>
              </w:rPr>
            </w:pPr>
            <w:r w:rsidRPr="00F0797D">
              <w:rPr>
                <w:rFonts w:ascii="Calibri" w:hAnsi="Calibri" w:cs="Calibri"/>
                <w:szCs w:val="22"/>
              </w:rPr>
              <w:t>D.2. Relevant stakeholders are identified prior to t</w:t>
            </w:r>
            <w:r>
              <w:rPr>
                <w:rFonts w:ascii="Calibri" w:hAnsi="Calibri" w:cs="Calibri"/>
                <w:szCs w:val="22"/>
              </w:rPr>
              <w:t>he design and implementation of REDD+ is ensured</w:t>
            </w:r>
            <w:r w:rsidRPr="00F0797D">
              <w:rPr>
                <w:rFonts w:ascii="Calibri" w:hAnsi="Calibri" w:cs="Calibri"/>
                <w:szCs w:val="22"/>
              </w:rPr>
              <w:t xml:space="preserve"> </w:t>
            </w:r>
          </w:p>
          <w:p w14:paraId="7627C6FD" w14:textId="77777777" w:rsidR="004D1524" w:rsidRPr="00F0797D" w:rsidRDefault="004D1524" w:rsidP="00483E52">
            <w:pPr>
              <w:rPr>
                <w:rFonts w:ascii="Calibri" w:hAnsi="Calibri" w:cs="Calibri"/>
                <w:szCs w:val="22"/>
              </w:rPr>
            </w:pPr>
          </w:p>
        </w:tc>
        <w:tc>
          <w:tcPr>
            <w:tcW w:w="2361" w:type="pct"/>
            <w:shd w:val="clear" w:color="auto" w:fill="auto"/>
          </w:tcPr>
          <w:p w14:paraId="6F09C2AE" w14:textId="77777777" w:rsidR="004D1524" w:rsidRPr="00F0797D" w:rsidRDefault="004D1524" w:rsidP="00483E52">
            <w:pPr>
              <w:pStyle w:val="ListParagraph"/>
              <w:spacing w:before="240" w:after="200" w:line="252" w:lineRule="auto"/>
              <w:ind w:left="0"/>
              <w:rPr>
                <w:rFonts w:cs="Calibri"/>
                <w:szCs w:val="22"/>
              </w:rPr>
            </w:pPr>
            <w:r w:rsidRPr="00F0797D">
              <w:rPr>
                <w:rFonts w:cs="Calibri"/>
                <w:szCs w:val="22"/>
              </w:rPr>
              <w:t xml:space="preserve">The legal framework defines who counts as stakeholders via the Timber Resources Management Regulations and the Environmental Assessments Regulations. </w:t>
            </w:r>
            <w:r w:rsidRPr="00F0797D">
              <w:rPr>
                <w:rStyle w:val="FootnoteReference"/>
                <w:rFonts w:cs="Calibri"/>
                <w:szCs w:val="22"/>
              </w:rPr>
              <w:footnoteReference w:id="71"/>
            </w:r>
            <w:r w:rsidRPr="00F0797D">
              <w:rPr>
                <w:rFonts w:cs="Calibri"/>
                <w:szCs w:val="22"/>
              </w:rPr>
              <w:t xml:space="preserve"> </w:t>
            </w:r>
          </w:p>
          <w:p w14:paraId="647E8744" w14:textId="77777777" w:rsidR="004D1524" w:rsidRDefault="004D1524" w:rsidP="00483E52">
            <w:pPr>
              <w:pStyle w:val="ListParagraph"/>
              <w:ind w:left="0"/>
              <w:rPr>
                <w:rFonts w:cs="Calibri"/>
                <w:szCs w:val="22"/>
              </w:rPr>
            </w:pPr>
            <w:r w:rsidRPr="00F0797D">
              <w:rPr>
                <w:rFonts w:cs="Calibri"/>
                <w:szCs w:val="22"/>
              </w:rPr>
              <w:t>PLRs in Ghana provide for the engagement or representation of local communities in the relevant forest decision making processs</w:t>
            </w:r>
            <w:r w:rsidRPr="00F0797D">
              <w:rPr>
                <w:rFonts w:cs="Calibri"/>
                <w:szCs w:val="22"/>
                <w:vertAlign w:val="superscript"/>
              </w:rPr>
              <w:footnoteReference w:id="72"/>
            </w:r>
            <w:r w:rsidRPr="00F0797D">
              <w:rPr>
                <w:rFonts w:cs="Calibri"/>
                <w:szCs w:val="22"/>
              </w:rPr>
              <w:t>.</w:t>
            </w:r>
          </w:p>
          <w:p w14:paraId="651837DB" w14:textId="77777777" w:rsidR="004D1524" w:rsidRPr="00F0797D" w:rsidRDefault="004D1524" w:rsidP="00483E52">
            <w:pPr>
              <w:pStyle w:val="ListParagraph"/>
              <w:ind w:left="0"/>
              <w:rPr>
                <w:rFonts w:cs="Calibri"/>
                <w:szCs w:val="22"/>
              </w:rPr>
            </w:pPr>
          </w:p>
        </w:tc>
        <w:tc>
          <w:tcPr>
            <w:tcW w:w="1357" w:type="pct"/>
            <w:vMerge/>
            <w:shd w:val="clear" w:color="auto" w:fill="auto"/>
          </w:tcPr>
          <w:p w14:paraId="6D23CBEF" w14:textId="77777777" w:rsidR="004D1524" w:rsidRPr="00F0797D" w:rsidRDefault="004D1524" w:rsidP="00483E52">
            <w:pPr>
              <w:tabs>
                <w:tab w:val="left" w:pos="480"/>
              </w:tabs>
              <w:rPr>
                <w:rFonts w:ascii="Calibri" w:hAnsi="Calibri" w:cs="Calibri"/>
              </w:rPr>
            </w:pPr>
          </w:p>
        </w:tc>
      </w:tr>
      <w:tr w:rsidR="004D1524" w:rsidRPr="00F0797D" w14:paraId="5A2C4654" w14:textId="77777777" w:rsidTr="00483E52">
        <w:trPr>
          <w:trHeight w:val="2148"/>
        </w:trPr>
        <w:tc>
          <w:tcPr>
            <w:tcW w:w="1282" w:type="pct"/>
            <w:shd w:val="clear" w:color="auto" w:fill="auto"/>
          </w:tcPr>
          <w:p w14:paraId="4C92BC42" w14:textId="77777777" w:rsidR="004D1524" w:rsidRPr="00F0797D" w:rsidRDefault="004D1524" w:rsidP="00483E52">
            <w:pPr>
              <w:rPr>
                <w:rFonts w:ascii="Calibri" w:hAnsi="Calibri" w:cs="Calibri"/>
                <w:szCs w:val="22"/>
              </w:rPr>
            </w:pPr>
          </w:p>
          <w:p w14:paraId="344D010D" w14:textId="77777777" w:rsidR="004D1524" w:rsidRPr="00F0797D" w:rsidRDefault="004D1524" w:rsidP="00483E52">
            <w:pPr>
              <w:rPr>
                <w:rFonts w:ascii="Calibri" w:hAnsi="Calibri" w:cs="Calibri"/>
                <w:szCs w:val="22"/>
              </w:rPr>
            </w:pPr>
            <w:r w:rsidRPr="00F0797D">
              <w:rPr>
                <w:rFonts w:ascii="Calibri" w:hAnsi="Calibri" w:cs="Calibri"/>
                <w:szCs w:val="22"/>
              </w:rPr>
              <w:t>D.3 Appropriate Participatory mecanisms are in place to ensure full and effective participation throughout the implementation of the REDD+ Strategy</w:t>
            </w:r>
          </w:p>
        </w:tc>
        <w:tc>
          <w:tcPr>
            <w:tcW w:w="2361" w:type="pct"/>
            <w:shd w:val="clear" w:color="auto" w:fill="auto"/>
          </w:tcPr>
          <w:p w14:paraId="092E17BB" w14:textId="77777777" w:rsidR="004D1524" w:rsidRPr="00F0797D" w:rsidRDefault="004D1524" w:rsidP="00483E52">
            <w:pPr>
              <w:pStyle w:val="ListParagraph"/>
              <w:ind w:left="0"/>
              <w:rPr>
                <w:rFonts w:cs="Calibri"/>
                <w:szCs w:val="22"/>
              </w:rPr>
            </w:pPr>
            <w:r w:rsidRPr="00F0797D">
              <w:rPr>
                <w:rFonts w:cs="Calibri"/>
                <w:szCs w:val="22"/>
              </w:rPr>
              <w:t>PLRs outline the responsibilities and processes for public participation.</w:t>
            </w:r>
            <w:r w:rsidRPr="00F0797D">
              <w:rPr>
                <w:rFonts w:cs="Calibri"/>
                <w:szCs w:val="22"/>
                <w:vertAlign w:val="superscript"/>
              </w:rPr>
              <w:footnoteReference w:id="73"/>
            </w:r>
            <w:r w:rsidRPr="00F0797D">
              <w:rPr>
                <w:rFonts w:cs="Calibri"/>
                <w:szCs w:val="22"/>
              </w:rPr>
              <w:t xml:space="preserve"> </w:t>
            </w:r>
          </w:p>
          <w:p w14:paraId="485129C4" w14:textId="77777777" w:rsidR="004D1524" w:rsidRPr="0019554D" w:rsidRDefault="004D1524" w:rsidP="00483E52">
            <w:pPr>
              <w:pStyle w:val="ListParagraph"/>
              <w:ind w:left="0"/>
              <w:rPr>
                <w:rFonts w:cs="Calibri"/>
                <w:szCs w:val="22"/>
              </w:rPr>
            </w:pPr>
          </w:p>
          <w:p w14:paraId="6CBC0CF5" w14:textId="77777777" w:rsidR="004D1524" w:rsidRPr="0019554D" w:rsidRDefault="004D1524" w:rsidP="00483E52">
            <w:pPr>
              <w:pStyle w:val="ListParagraph"/>
              <w:ind w:left="0"/>
              <w:rPr>
                <w:rFonts w:cs="Calibri"/>
                <w:szCs w:val="22"/>
              </w:rPr>
            </w:pPr>
            <w:r w:rsidRPr="00F0797D">
              <w:rPr>
                <w:rFonts w:cs="Calibri"/>
                <w:szCs w:val="22"/>
              </w:rPr>
              <w:t xml:space="preserve">The type of information to be provided in environmental decision making processes are clearly defined by PLRs. </w:t>
            </w:r>
            <w:r w:rsidRPr="00F0797D">
              <w:rPr>
                <w:rFonts w:cs="Calibri"/>
                <w:szCs w:val="22"/>
                <w:vertAlign w:val="superscript"/>
              </w:rPr>
              <w:footnoteReference w:id="74"/>
            </w:r>
            <w:r w:rsidRPr="0019554D">
              <w:rPr>
                <w:rFonts w:cs="Calibri"/>
                <w:szCs w:val="22"/>
              </w:rPr>
              <w:t xml:space="preserve"> </w:t>
            </w:r>
            <w:r w:rsidRPr="00F0797D">
              <w:rPr>
                <w:rFonts w:cs="Calibri"/>
                <w:szCs w:val="22"/>
              </w:rPr>
              <w:t xml:space="preserve">PLRs highlight  that  in  the  context  of  Environmental  Impact  Assessments,  Public  Hearings  must  be  held. </w:t>
            </w:r>
            <w:r w:rsidRPr="00F0797D">
              <w:rPr>
                <w:rStyle w:val="FootnoteReference"/>
                <w:rFonts w:cs="Calibri"/>
                <w:szCs w:val="22"/>
              </w:rPr>
              <w:footnoteReference w:id="75"/>
            </w:r>
          </w:p>
          <w:p w14:paraId="0549FB28" w14:textId="77777777" w:rsidR="004D1524" w:rsidRPr="00F0797D" w:rsidRDefault="004D1524" w:rsidP="00483E52">
            <w:pPr>
              <w:pStyle w:val="ListParagraph"/>
              <w:ind w:left="0"/>
              <w:rPr>
                <w:rFonts w:cs="Calibri"/>
                <w:szCs w:val="22"/>
              </w:rPr>
            </w:pPr>
            <w:r w:rsidRPr="00F0797D" w:rsidDel="005B601A">
              <w:rPr>
                <w:rFonts w:cs="Calibri"/>
                <w:szCs w:val="22"/>
              </w:rPr>
              <w:t xml:space="preserve"> </w:t>
            </w:r>
          </w:p>
          <w:p w14:paraId="0234F398" w14:textId="77777777" w:rsidR="004D1524" w:rsidRPr="00F0797D" w:rsidRDefault="004D1524" w:rsidP="00483E52">
            <w:pPr>
              <w:pStyle w:val="ListParagraph"/>
              <w:ind w:left="0"/>
              <w:rPr>
                <w:rFonts w:cs="Calibri"/>
                <w:szCs w:val="22"/>
              </w:rPr>
            </w:pPr>
            <w:r w:rsidRPr="00F0797D">
              <w:rPr>
                <w:rFonts w:cs="Calibri"/>
                <w:szCs w:val="22"/>
              </w:rPr>
              <w:t xml:space="preserve">PLRs define  clear  timeframes  for  decision  making. </w:t>
            </w:r>
            <w:r w:rsidRPr="00F0797D">
              <w:rPr>
                <w:rStyle w:val="FootnoteReference"/>
                <w:rFonts w:cs="Calibri"/>
                <w:szCs w:val="22"/>
              </w:rPr>
              <w:footnoteReference w:id="76"/>
            </w:r>
          </w:p>
        </w:tc>
        <w:tc>
          <w:tcPr>
            <w:tcW w:w="1357" w:type="pct"/>
            <w:vMerge/>
            <w:shd w:val="clear" w:color="auto" w:fill="auto"/>
          </w:tcPr>
          <w:p w14:paraId="4471BB53" w14:textId="77777777" w:rsidR="004D1524" w:rsidRPr="00F0797D" w:rsidRDefault="004D1524" w:rsidP="00483E52">
            <w:pPr>
              <w:rPr>
                <w:rFonts w:ascii="Calibri" w:hAnsi="Calibri" w:cs="Calibri"/>
              </w:rPr>
            </w:pPr>
          </w:p>
        </w:tc>
      </w:tr>
    </w:tbl>
    <w:p w14:paraId="6F92F9ED" w14:textId="77777777" w:rsidR="004D1524" w:rsidRPr="00F0797D" w:rsidRDefault="004D1524" w:rsidP="004D1524">
      <w:pPr>
        <w:rPr>
          <w:rFonts w:ascii="Calibri" w:hAnsi="Calibri" w:cs="Calibri"/>
          <w:i/>
          <w:szCs w:val="22"/>
        </w:rPr>
      </w:pPr>
    </w:p>
    <w:p w14:paraId="748AEB23" w14:textId="77777777" w:rsidR="004D1524" w:rsidRPr="00F0797D" w:rsidRDefault="004D1524" w:rsidP="004D1524">
      <w:pPr>
        <w:rPr>
          <w:rFonts w:ascii="Calibri" w:hAnsi="Calibri" w:cs="Calibri"/>
          <w:i/>
          <w:szCs w:val="22"/>
        </w:rPr>
      </w:pPr>
    </w:p>
    <w:p w14:paraId="106B893D" w14:textId="77777777" w:rsidR="004D1524" w:rsidRPr="00F0797D" w:rsidRDefault="004D1524" w:rsidP="004D1524">
      <w:pPr>
        <w:rPr>
          <w:rFonts w:ascii="Calibri" w:hAnsi="Calibri" w:cs="Calibri"/>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6587"/>
        <w:gridCol w:w="3786"/>
      </w:tblGrid>
      <w:tr w:rsidR="004D1524" w:rsidRPr="00F0797D" w14:paraId="6D7DE6E9" w14:textId="77777777" w:rsidTr="00483E52">
        <w:tc>
          <w:tcPr>
            <w:tcW w:w="5000" w:type="pct"/>
            <w:gridSpan w:val="3"/>
            <w:shd w:val="clear" w:color="auto" w:fill="E2EFD9"/>
          </w:tcPr>
          <w:p w14:paraId="087CB5D1" w14:textId="77777777" w:rsidR="004D1524" w:rsidRPr="00F0797D" w:rsidRDefault="004D1524" w:rsidP="00483E52">
            <w:pPr>
              <w:rPr>
                <w:rFonts w:ascii="Calibri" w:hAnsi="Calibri" w:cs="Calibri"/>
                <w:b/>
                <w:szCs w:val="22"/>
              </w:rPr>
            </w:pPr>
          </w:p>
          <w:p w14:paraId="3357BF6F" w14:textId="77777777" w:rsidR="004D1524" w:rsidRPr="00F0797D" w:rsidRDefault="004D1524" w:rsidP="00483E52">
            <w:pPr>
              <w:rPr>
                <w:rFonts w:ascii="Calibri" w:hAnsi="Calibri" w:cs="Calibri"/>
                <w:b/>
                <w:szCs w:val="22"/>
              </w:rPr>
            </w:pPr>
            <w:r w:rsidRPr="00F0797D">
              <w:rPr>
                <w:rFonts w:ascii="Calibri" w:hAnsi="Calibri" w:cs="Calibri"/>
                <w:b/>
                <w:szCs w:val="22"/>
              </w:rPr>
              <w:t>UNFCCC REDD+ Safeguard E:</w:t>
            </w:r>
            <w:r w:rsidRPr="00F0797D">
              <w:rPr>
                <w:rFonts w:ascii="Calibri" w:hAnsi="Calibri" w:cs="Calibri"/>
                <w:szCs w:val="22"/>
              </w:rPr>
              <w:t xml:space="preserve"> ‘</w:t>
            </w:r>
            <w:r w:rsidRPr="00F0797D">
              <w:rPr>
                <w:rFonts w:ascii="Calibri" w:hAnsi="Calibri" w:cs="Calibri"/>
                <w:b/>
                <w:szCs w:val="22"/>
              </w:rPr>
              <w:t>That actions are consistent with the conservation of natural forests and biological diversity, ensuring that the actions referred to in paragraph 70 of this decision are not used for the conversion of natural forests, but are instead used to incentivize the protection and conservation of natural forests and their ecosystem services, and to enhance other social and environmental benefits</w:t>
            </w:r>
          </w:p>
          <w:p w14:paraId="4857DB1E" w14:textId="77777777" w:rsidR="004D1524" w:rsidRPr="00F0797D" w:rsidRDefault="004D1524" w:rsidP="00483E52">
            <w:pPr>
              <w:widowControl w:val="0"/>
              <w:autoSpaceDE w:val="0"/>
              <w:autoSpaceDN w:val="0"/>
              <w:adjustRightInd w:val="0"/>
              <w:rPr>
                <w:rFonts w:ascii="Calibri" w:hAnsi="Calibri" w:cs="Calibri"/>
                <w:b/>
                <w:szCs w:val="22"/>
              </w:rPr>
            </w:pPr>
          </w:p>
        </w:tc>
      </w:tr>
      <w:tr w:rsidR="004D1524" w:rsidRPr="00F0797D" w14:paraId="5FD8B3D4" w14:textId="77777777" w:rsidTr="00483E52">
        <w:tc>
          <w:tcPr>
            <w:tcW w:w="1282" w:type="pct"/>
            <w:shd w:val="clear" w:color="auto" w:fill="auto"/>
            <w:vAlign w:val="center"/>
          </w:tcPr>
          <w:p w14:paraId="121070C2" w14:textId="77777777" w:rsidR="004D1524" w:rsidRPr="00F0797D" w:rsidRDefault="004D1524" w:rsidP="00483E52">
            <w:pPr>
              <w:jc w:val="center"/>
              <w:rPr>
                <w:rFonts w:ascii="Calibri" w:hAnsi="Calibri" w:cs="Calibri"/>
                <w:b/>
                <w:szCs w:val="22"/>
                <w:lang w:val="es-ES"/>
              </w:rPr>
            </w:pPr>
            <w:r w:rsidRPr="00F0797D">
              <w:rPr>
                <w:rFonts w:ascii="Calibri" w:hAnsi="Calibri" w:cs="Calibri"/>
                <w:b/>
                <w:szCs w:val="22"/>
                <w:lang w:val="es-ES"/>
              </w:rPr>
              <w:t>Core elements</w:t>
            </w:r>
          </w:p>
        </w:tc>
        <w:tc>
          <w:tcPr>
            <w:tcW w:w="2361" w:type="pct"/>
            <w:shd w:val="clear" w:color="auto" w:fill="auto"/>
            <w:vAlign w:val="center"/>
          </w:tcPr>
          <w:p w14:paraId="1BC27C8C" w14:textId="77777777" w:rsidR="004D1524" w:rsidRPr="00F0797D" w:rsidRDefault="004D1524" w:rsidP="00483E52">
            <w:pPr>
              <w:jc w:val="center"/>
              <w:rPr>
                <w:rFonts w:ascii="Calibri" w:hAnsi="Calibri" w:cs="Calibri"/>
                <w:b/>
                <w:szCs w:val="22"/>
                <w:lang w:val="es-ES"/>
              </w:rPr>
            </w:pPr>
            <w:r w:rsidRPr="00F0797D">
              <w:rPr>
                <w:rFonts w:ascii="Calibri" w:hAnsi="Calibri" w:cs="Calibri"/>
                <w:b/>
                <w:szCs w:val="22"/>
                <w:lang w:val="es-ES"/>
              </w:rPr>
              <w:t>Legal basis</w:t>
            </w:r>
            <w:r w:rsidRPr="00F0797D">
              <w:rPr>
                <w:rFonts w:ascii="Calibri" w:hAnsi="Calibri" w:cs="Calibri"/>
                <w:i/>
                <w:szCs w:val="22"/>
                <w:lang w:val="es-ES"/>
              </w:rPr>
              <w:t xml:space="preserve"> </w:t>
            </w:r>
          </w:p>
        </w:tc>
        <w:tc>
          <w:tcPr>
            <w:tcW w:w="1357" w:type="pct"/>
            <w:shd w:val="clear" w:color="auto" w:fill="auto"/>
          </w:tcPr>
          <w:p w14:paraId="0F30D7EF" w14:textId="77777777" w:rsidR="004D1524" w:rsidRPr="00F0797D" w:rsidRDefault="004D1524" w:rsidP="00483E52">
            <w:pPr>
              <w:jc w:val="center"/>
              <w:rPr>
                <w:rFonts w:ascii="Calibri" w:hAnsi="Calibri" w:cs="Calibri"/>
                <w:b/>
                <w:szCs w:val="22"/>
                <w:lang w:val="es-ES"/>
              </w:rPr>
            </w:pPr>
            <w:r w:rsidRPr="00F0797D">
              <w:rPr>
                <w:rFonts w:ascii="Calibri" w:hAnsi="Calibri" w:cs="Calibri"/>
                <w:b/>
                <w:szCs w:val="22"/>
                <w:lang w:val="es-ES"/>
              </w:rPr>
              <w:t>Narrative Clarification</w:t>
            </w:r>
          </w:p>
        </w:tc>
      </w:tr>
      <w:tr w:rsidR="004D1524" w:rsidRPr="00F0797D" w14:paraId="08D51D49" w14:textId="77777777" w:rsidTr="00483E52">
        <w:tc>
          <w:tcPr>
            <w:tcW w:w="1282" w:type="pct"/>
            <w:shd w:val="clear" w:color="auto" w:fill="auto"/>
          </w:tcPr>
          <w:p w14:paraId="1777BB36" w14:textId="77777777" w:rsidR="004D1524" w:rsidRPr="00F0797D" w:rsidRDefault="004D1524" w:rsidP="00483E52">
            <w:pPr>
              <w:rPr>
                <w:rFonts w:ascii="Calibri" w:hAnsi="Calibri" w:cs="Calibri"/>
                <w:szCs w:val="22"/>
              </w:rPr>
            </w:pPr>
          </w:p>
          <w:p w14:paraId="6755CF5F" w14:textId="77777777" w:rsidR="004D1524" w:rsidRPr="00F0797D" w:rsidRDefault="004D1524" w:rsidP="00483E52">
            <w:pPr>
              <w:rPr>
                <w:rFonts w:ascii="Calibri" w:hAnsi="Calibri" w:cs="Calibri"/>
                <w:szCs w:val="22"/>
              </w:rPr>
            </w:pPr>
            <w:r w:rsidRPr="00F0797D">
              <w:rPr>
                <w:rFonts w:ascii="Calibri" w:hAnsi="Calibri" w:cs="Calibri"/>
                <w:szCs w:val="22"/>
              </w:rPr>
              <w:t xml:space="preserve">E.1 The conservation of natural forests and biological diversity is recognized and protected throughout the implementation of the REDD+ strategy </w:t>
            </w:r>
          </w:p>
        </w:tc>
        <w:tc>
          <w:tcPr>
            <w:tcW w:w="2361" w:type="pct"/>
            <w:shd w:val="clear" w:color="auto" w:fill="auto"/>
          </w:tcPr>
          <w:p w14:paraId="620157A9" w14:textId="77777777" w:rsidR="004D1524" w:rsidRPr="00F0797D" w:rsidRDefault="004D1524" w:rsidP="00483E52">
            <w:pPr>
              <w:rPr>
                <w:rFonts w:ascii="Calibri" w:hAnsi="Calibri" w:cs="Calibri"/>
                <w:szCs w:val="22"/>
              </w:rPr>
            </w:pPr>
            <w:r w:rsidRPr="00F0797D">
              <w:rPr>
                <w:rFonts w:ascii="Calibri" w:hAnsi="Calibri" w:cs="Calibri"/>
                <w:szCs w:val="22"/>
              </w:rPr>
              <w:t>Ghana’s legal framework includes a broad duty to safeguard and protect the environment,</w:t>
            </w:r>
            <w:r w:rsidRPr="00F0797D">
              <w:rPr>
                <w:rStyle w:val="FootnoteReference"/>
                <w:rFonts w:ascii="Calibri" w:hAnsi="Calibri" w:cs="Calibri"/>
                <w:szCs w:val="22"/>
              </w:rPr>
              <w:footnoteReference w:id="77"/>
            </w:r>
            <w:r w:rsidRPr="00F0797D">
              <w:rPr>
                <w:rFonts w:ascii="Calibri" w:hAnsi="Calibri" w:cs="Calibri"/>
                <w:szCs w:val="22"/>
              </w:rPr>
              <w:t xml:space="preserve"> and mandates the Environmental Protection Agency Act to promote studies, research, surveys, analyses for the improvement of the protection of the environment and the maintenance of sound ecological ecosystems, as well as the promotion of effective planning in the management of the environment.</w:t>
            </w:r>
            <w:r w:rsidRPr="00F0797D">
              <w:rPr>
                <w:rStyle w:val="FootnoteReference"/>
                <w:rFonts w:ascii="Calibri" w:hAnsi="Calibri" w:cs="Calibri"/>
                <w:szCs w:val="22"/>
              </w:rPr>
              <w:footnoteReference w:id="78"/>
            </w:r>
            <w:r w:rsidRPr="00F0797D">
              <w:rPr>
                <w:rFonts w:ascii="Calibri" w:hAnsi="Calibri" w:cs="Calibri"/>
                <w:szCs w:val="22"/>
              </w:rPr>
              <w:t xml:space="preserve"> </w:t>
            </w:r>
          </w:p>
          <w:p w14:paraId="688CDAAA" w14:textId="77777777" w:rsidR="004D1524" w:rsidRPr="00F0797D" w:rsidRDefault="004D1524" w:rsidP="00483E52">
            <w:pPr>
              <w:rPr>
                <w:rFonts w:ascii="Calibri" w:hAnsi="Calibri" w:cs="Calibri"/>
                <w:szCs w:val="22"/>
              </w:rPr>
            </w:pPr>
          </w:p>
          <w:p w14:paraId="7EAD97A7" w14:textId="77777777" w:rsidR="004D1524" w:rsidRPr="00F0797D" w:rsidRDefault="004D1524" w:rsidP="00483E52">
            <w:pPr>
              <w:rPr>
                <w:rFonts w:ascii="Calibri" w:hAnsi="Calibri" w:cs="Calibri"/>
                <w:szCs w:val="22"/>
              </w:rPr>
            </w:pPr>
            <w:r w:rsidRPr="00F0797D">
              <w:rPr>
                <w:rFonts w:ascii="Calibri" w:hAnsi="Calibri" w:cs="Calibri"/>
                <w:szCs w:val="22"/>
              </w:rPr>
              <w:t>The legal framework requires that all undertakings that could potentially negatively affect the environment be subject to EIA</w:t>
            </w:r>
            <w:r w:rsidRPr="00F0797D">
              <w:rPr>
                <w:rStyle w:val="FootnoteReference"/>
                <w:rFonts w:ascii="Calibri" w:hAnsi="Calibri" w:cs="Calibri"/>
                <w:szCs w:val="22"/>
              </w:rPr>
              <w:footnoteReference w:id="79"/>
            </w:r>
            <w:r w:rsidRPr="00F0797D">
              <w:rPr>
                <w:rFonts w:ascii="Calibri" w:hAnsi="Calibri" w:cs="Calibri"/>
                <w:szCs w:val="22"/>
              </w:rPr>
              <w:t xml:space="preserve"> .</w:t>
            </w:r>
          </w:p>
          <w:p w14:paraId="649FD116" w14:textId="77777777" w:rsidR="004D1524" w:rsidRDefault="004D1524" w:rsidP="00483E52">
            <w:pPr>
              <w:rPr>
                <w:rFonts w:ascii="Calibri" w:hAnsi="Calibri" w:cs="Calibri"/>
                <w:szCs w:val="22"/>
              </w:rPr>
            </w:pPr>
          </w:p>
          <w:p w14:paraId="622516BA" w14:textId="77777777" w:rsidR="004D1524" w:rsidRPr="00F0797D" w:rsidRDefault="004D1524" w:rsidP="00483E52">
            <w:pPr>
              <w:rPr>
                <w:rFonts w:ascii="Calibri" w:hAnsi="Calibri" w:cs="Calibri"/>
                <w:szCs w:val="22"/>
              </w:rPr>
            </w:pPr>
            <w:r>
              <w:rPr>
                <w:rFonts w:ascii="Calibri" w:hAnsi="Calibri" w:cs="Calibri"/>
                <w:szCs w:val="22"/>
              </w:rPr>
              <w:lastRenderedPageBreak/>
              <w:t xml:space="preserve">Relevant PLRs include: </w:t>
            </w:r>
          </w:p>
          <w:p w14:paraId="43E5C053" w14:textId="77777777" w:rsidR="004D1524" w:rsidRPr="00F0797D" w:rsidRDefault="004D1524" w:rsidP="0039326F">
            <w:pPr>
              <w:numPr>
                <w:ilvl w:val="0"/>
                <w:numId w:val="21"/>
              </w:numPr>
              <w:jc w:val="left"/>
              <w:rPr>
                <w:rFonts w:ascii="Calibri" w:hAnsi="Calibri" w:cs="Calibri"/>
                <w:szCs w:val="22"/>
              </w:rPr>
            </w:pPr>
            <w:r w:rsidRPr="00F0797D">
              <w:rPr>
                <w:rFonts w:ascii="Calibri" w:hAnsi="Calibri" w:cs="Calibri"/>
                <w:szCs w:val="22"/>
              </w:rPr>
              <w:t>Forest Ordinance Act</w:t>
            </w:r>
            <w:r w:rsidRPr="00F0797D">
              <w:rPr>
                <w:rStyle w:val="FootnoteReference"/>
                <w:rFonts w:ascii="Calibri" w:hAnsi="Calibri" w:cs="Calibri"/>
                <w:szCs w:val="22"/>
              </w:rPr>
              <w:footnoteReference w:id="80"/>
            </w:r>
          </w:p>
          <w:p w14:paraId="6010196D" w14:textId="77777777" w:rsidR="004D1524" w:rsidRPr="00F0797D" w:rsidRDefault="004D1524" w:rsidP="0039326F">
            <w:pPr>
              <w:numPr>
                <w:ilvl w:val="0"/>
                <w:numId w:val="21"/>
              </w:numPr>
              <w:jc w:val="left"/>
              <w:rPr>
                <w:rFonts w:ascii="Calibri" w:hAnsi="Calibri" w:cs="Calibri"/>
                <w:szCs w:val="22"/>
              </w:rPr>
            </w:pPr>
            <w:r w:rsidRPr="00F0797D">
              <w:rPr>
                <w:rFonts w:ascii="Calibri" w:hAnsi="Calibri" w:cs="Calibri"/>
                <w:szCs w:val="22"/>
              </w:rPr>
              <w:t>Forest Plantation Development Funds Act, the Trees and Timber Act  and the Traditional Medicine Act</w:t>
            </w:r>
            <w:r w:rsidRPr="00F0797D">
              <w:rPr>
                <w:rStyle w:val="FootnoteReference"/>
                <w:rFonts w:ascii="Calibri" w:hAnsi="Calibri" w:cs="Calibri"/>
                <w:szCs w:val="22"/>
              </w:rPr>
              <w:footnoteReference w:id="81"/>
            </w:r>
          </w:p>
          <w:p w14:paraId="64AC4C4D" w14:textId="77777777" w:rsidR="004D1524" w:rsidRPr="00F0797D" w:rsidRDefault="004D1524" w:rsidP="0039326F">
            <w:pPr>
              <w:numPr>
                <w:ilvl w:val="0"/>
                <w:numId w:val="21"/>
              </w:numPr>
              <w:jc w:val="left"/>
              <w:rPr>
                <w:rFonts w:ascii="Calibri" w:hAnsi="Calibri" w:cs="Calibri"/>
                <w:szCs w:val="22"/>
              </w:rPr>
            </w:pPr>
            <w:r w:rsidRPr="00F0797D">
              <w:rPr>
                <w:rFonts w:ascii="Calibri" w:hAnsi="Calibri" w:cs="Calibri"/>
                <w:szCs w:val="22"/>
              </w:rPr>
              <w:t>Constitution provides for protection of the environment and citizens</w:t>
            </w:r>
            <w:r w:rsidRPr="00F0797D">
              <w:rPr>
                <w:rStyle w:val="FootnoteReference"/>
                <w:rFonts w:ascii="Calibri" w:hAnsi="Calibri" w:cs="Calibri"/>
                <w:szCs w:val="22"/>
              </w:rPr>
              <w:footnoteReference w:id="82"/>
            </w:r>
          </w:p>
          <w:p w14:paraId="40F820C8" w14:textId="77777777" w:rsidR="004D1524" w:rsidRPr="00F0797D" w:rsidRDefault="004D1524" w:rsidP="0039326F">
            <w:pPr>
              <w:numPr>
                <w:ilvl w:val="0"/>
                <w:numId w:val="21"/>
              </w:numPr>
              <w:jc w:val="left"/>
              <w:rPr>
                <w:rFonts w:ascii="Calibri" w:hAnsi="Calibri" w:cs="Calibri"/>
                <w:szCs w:val="22"/>
              </w:rPr>
            </w:pPr>
            <w:r w:rsidRPr="00F0797D">
              <w:rPr>
                <w:rFonts w:ascii="Calibri" w:hAnsi="Calibri" w:cs="Calibri"/>
                <w:szCs w:val="22"/>
              </w:rPr>
              <w:t>Wetland Management (RAMSAR SITE) Regulations</w:t>
            </w:r>
            <w:r w:rsidRPr="00F0797D">
              <w:rPr>
                <w:rStyle w:val="FootnoteReference"/>
                <w:rFonts w:ascii="Calibri" w:hAnsi="Calibri" w:cs="Calibri"/>
                <w:szCs w:val="22"/>
              </w:rPr>
              <w:footnoteReference w:id="83"/>
            </w:r>
          </w:p>
          <w:p w14:paraId="0A0E6756" w14:textId="77777777" w:rsidR="004D1524" w:rsidRPr="00F0797D" w:rsidRDefault="004D1524" w:rsidP="0039326F">
            <w:pPr>
              <w:numPr>
                <w:ilvl w:val="0"/>
                <w:numId w:val="21"/>
              </w:numPr>
              <w:jc w:val="left"/>
              <w:rPr>
                <w:rFonts w:ascii="Calibri" w:hAnsi="Calibri" w:cs="Calibri"/>
                <w:szCs w:val="22"/>
              </w:rPr>
            </w:pPr>
            <w:r w:rsidRPr="00F0797D">
              <w:rPr>
                <w:rFonts w:ascii="Calibri" w:hAnsi="Calibri" w:cs="Calibri"/>
                <w:szCs w:val="22"/>
              </w:rPr>
              <w:t>Environmental Assessment Regulations</w:t>
            </w:r>
            <w:r w:rsidRPr="00F0797D">
              <w:rPr>
                <w:rStyle w:val="FootnoteReference"/>
                <w:rFonts w:ascii="Calibri" w:hAnsi="Calibri" w:cs="Calibri"/>
                <w:szCs w:val="22"/>
              </w:rPr>
              <w:footnoteReference w:id="84"/>
            </w:r>
          </w:p>
          <w:p w14:paraId="659EF713" w14:textId="77777777" w:rsidR="004D1524" w:rsidRPr="00F0797D" w:rsidRDefault="004D1524" w:rsidP="0039326F">
            <w:pPr>
              <w:numPr>
                <w:ilvl w:val="0"/>
                <w:numId w:val="21"/>
              </w:numPr>
              <w:jc w:val="left"/>
              <w:rPr>
                <w:rFonts w:ascii="Calibri" w:hAnsi="Calibri" w:cs="Calibri"/>
                <w:szCs w:val="22"/>
              </w:rPr>
            </w:pPr>
            <w:r w:rsidRPr="00F0797D">
              <w:rPr>
                <w:rFonts w:ascii="Calibri" w:hAnsi="Calibri" w:cs="Calibri"/>
                <w:szCs w:val="22"/>
              </w:rPr>
              <w:t>Environmental Protection Agency Act</w:t>
            </w:r>
            <w:r w:rsidRPr="00F0797D">
              <w:rPr>
                <w:rStyle w:val="FootnoteReference"/>
                <w:rFonts w:ascii="Calibri" w:hAnsi="Calibri" w:cs="Calibri"/>
                <w:szCs w:val="22"/>
              </w:rPr>
              <w:footnoteReference w:id="85"/>
            </w:r>
          </w:p>
          <w:p w14:paraId="1E7993E2" w14:textId="77777777" w:rsidR="004D1524" w:rsidRPr="00F0797D" w:rsidRDefault="004D1524" w:rsidP="00483E52">
            <w:pPr>
              <w:ind w:left="720"/>
              <w:rPr>
                <w:rFonts w:ascii="Calibri" w:hAnsi="Calibri" w:cs="Calibri"/>
                <w:szCs w:val="22"/>
              </w:rPr>
            </w:pPr>
          </w:p>
        </w:tc>
        <w:tc>
          <w:tcPr>
            <w:tcW w:w="1357" w:type="pct"/>
            <w:vMerge w:val="restart"/>
            <w:shd w:val="clear" w:color="auto" w:fill="auto"/>
          </w:tcPr>
          <w:p w14:paraId="392B01DF" w14:textId="77777777" w:rsidR="004D1524" w:rsidRPr="00F0797D" w:rsidRDefault="004D1524" w:rsidP="00483E52">
            <w:pPr>
              <w:rPr>
                <w:rFonts w:ascii="Calibri" w:hAnsi="Calibri" w:cs="Calibri"/>
                <w:i/>
                <w:szCs w:val="22"/>
              </w:rPr>
            </w:pPr>
          </w:p>
          <w:p w14:paraId="41F38767" w14:textId="77777777" w:rsidR="004D1524" w:rsidRPr="00F0797D" w:rsidRDefault="004D1524" w:rsidP="00483E52">
            <w:pPr>
              <w:rPr>
                <w:rFonts w:ascii="Calibri" w:hAnsi="Calibri" w:cs="Calibri"/>
                <w:szCs w:val="22"/>
              </w:rPr>
            </w:pPr>
          </w:p>
          <w:p w14:paraId="369E4785" w14:textId="77777777" w:rsidR="004D1524" w:rsidRPr="00F0797D" w:rsidRDefault="004D1524" w:rsidP="00483E52">
            <w:pPr>
              <w:rPr>
                <w:rFonts w:ascii="Calibri" w:hAnsi="Calibri" w:cs="Calibri"/>
                <w:szCs w:val="22"/>
              </w:rPr>
            </w:pPr>
          </w:p>
          <w:p w14:paraId="712A8FA2" w14:textId="77777777" w:rsidR="004D1524" w:rsidRPr="00F0797D" w:rsidRDefault="004D1524" w:rsidP="00483E52">
            <w:pPr>
              <w:rPr>
                <w:rFonts w:ascii="Calibri" w:hAnsi="Calibri" w:cs="Calibri"/>
                <w:b/>
                <w:szCs w:val="22"/>
              </w:rPr>
            </w:pPr>
            <w:r w:rsidRPr="00F0797D">
              <w:rPr>
                <w:rFonts w:ascii="Calibri" w:hAnsi="Calibri" w:cs="Calibri"/>
                <w:b/>
                <w:szCs w:val="22"/>
              </w:rPr>
              <w:t>REDD+ interventions will promote the conservation of natural forests and biodiversity, the enhancement of social and environmental benefits, and will not result in the conversion of natural forests, in accordance with the relevant PLRs in the country.</w:t>
            </w:r>
          </w:p>
        </w:tc>
      </w:tr>
      <w:tr w:rsidR="004D1524" w:rsidRPr="00F0797D" w14:paraId="43498C25" w14:textId="77777777" w:rsidTr="00483E52">
        <w:tc>
          <w:tcPr>
            <w:tcW w:w="1282" w:type="pct"/>
            <w:shd w:val="clear" w:color="auto" w:fill="auto"/>
          </w:tcPr>
          <w:p w14:paraId="72D12E7E" w14:textId="77777777" w:rsidR="004D1524" w:rsidRPr="00F0797D" w:rsidRDefault="004D1524" w:rsidP="00483E52">
            <w:pPr>
              <w:rPr>
                <w:rFonts w:ascii="Calibri" w:hAnsi="Calibri" w:cs="Calibri"/>
                <w:szCs w:val="22"/>
              </w:rPr>
            </w:pPr>
          </w:p>
          <w:p w14:paraId="5DF181B8" w14:textId="77777777" w:rsidR="004D1524" w:rsidRPr="00F0797D" w:rsidRDefault="004D1524" w:rsidP="00483E52">
            <w:pPr>
              <w:rPr>
                <w:rFonts w:ascii="Calibri" w:hAnsi="Calibri" w:cs="Calibri"/>
                <w:szCs w:val="22"/>
              </w:rPr>
            </w:pPr>
            <w:r w:rsidRPr="00F0797D">
              <w:rPr>
                <w:rFonts w:ascii="Calibri" w:hAnsi="Calibri" w:cs="Calibri"/>
                <w:szCs w:val="22"/>
              </w:rPr>
              <w:t>E.2 The REDD+ strategy will not incentivise, or lead to the conversion of natural forests</w:t>
            </w:r>
          </w:p>
        </w:tc>
        <w:tc>
          <w:tcPr>
            <w:tcW w:w="2361" w:type="pct"/>
            <w:shd w:val="clear" w:color="auto" w:fill="auto"/>
          </w:tcPr>
          <w:p w14:paraId="150A6A0E" w14:textId="77777777" w:rsidR="004D1524" w:rsidRPr="00F0797D" w:rsidRDefault="004D1524" w:rsidP="00483E52">
            <w:pPr>
              <w:rPr>
                <w:rFonts w:ascii="Calibri" w:hAnsi="Calibri" w:cs="Calibri"/>
                <w:szCs w:val="22"/>
              </w:rPr>
            </w:pPr>
            <w:r w:rsidRPr="0019554D">
              <w:rPr>
                <w:rFonts w:ascii="Calibri" w:hAnsi="Calibri" w:cs="Calibri"/>
                <w:szCs w:val="22"/>
              </w:rPr>
              <w:t xml:space="preserve">A </w:t>
            </w:r>
            <w:r w:rsidRPr="00F0797D">
              <w:rPr>
                <w:rFonts w:ascii="Calibri" w:hAnsi="Calibri" w:cs="Calibri"/>
                <w:szCs w:val="22"/>
              </w:rPr>
              <w:t>combination of legal provisions would prohibit the conversion of natural forests as a result of REDD+ implementation including:</w:t>
            </w:r>
          </w:p>
          <w:p w14:paraId="4B935860" w14:textId="77777777" w:rsidR="004D1524" w:rsidRPr="00F0797D" w:rsidRDefault="004D1524" w:rsidP="00483E52">
            <w:pPr>
              <w:rPr>
                <w:rFonts w:ascii="Calibri" w:hAnsi="Calibri" w:cs="Calibri"/>
                <w:szCs w:val="22"/>
              </w:rPr>
            </w:pPr>
          </w:p>
          <w:p w14:paraId="6EB24B0A" w14:textId="77777777" w:rsidR="004D1524" w:rsidRPr="00F0797D" w:rsidRDefault="004D1524" w:rsidP="0039326F">
            <w:pPr>
              <w:numPr>
                <w:ilvl w:val="0"/>
                <w:numId w:val="21"/>
              </w:numPr>
              <w:rPr>
                <w:rFonts w:ascii="Calibri" w:hAnsi="Calibri" w:cs="Calibri"/>
                <w:szCs w:val="22"/>
              </w:rPr>
            </w:pPr>
            <w:r w:rsidRPr="00F0797D">
              <w:rPr>
                <w:rFonts w:ascii="Calibri" w:hAnsi="Calibri" w:cs="Calibri"/>
                <w:szCs w:val="22"/>
              </w:rPr>
              <w:t>Constitutional Provisions requiring that appropriate steps are taken to protect and safeguard the environment by both the government and the citizens,</w:t>
            </w:r>
            <w:r w:rsidRPr="00F0797D">
              <w:rPr>
                <w:rStyle w:val="FootnoteReference"/>
                <w:rFonts w:ascii="Calibri" w:hAnsi="Calibri" w:cs="Calibri"/>
                <w:szCs w:val="22"/>
              </w:rPr>
              <w:footnoteReference w:id="86"/>
            </w:r>
            <w:r w:rsidRPr="00F0797D">
              <w:rPr>
                <w:rFonts w:ascii="Calibri" w:hAnsi="Calibri" w:cs="Calibri"/>
                <w:szCs w:val="22"/>
              </w:rPr>
              <w:t xml:space="preserve"> </w:t>
            </w:r>
          </w:p>
          <w:p w14:paraId="48F5BB9D" w14:textId="77777777" w:rsidR="004D1524" w:rsidRPr="00F0797D" w:rsidRDefault="004D1524" w:rsidP="0039326F">
            <w:pPr>
              <w:numPr>
                <w:ilvl w:val="0"/>
                <w:numId w:val="21"/>
              </w:numPr>
              <w:rPr>
                <w:rFonts w:ascii="Calibri" w:hAnsi="Calibri" w:cs="Calibri"/>
                <w:szCs w:val="22"/>
              </w:rPr>
            </w:pPr>
            <w:r>
              <w:rPr>
                <w:rFonts w:ascii="Calibri" w:hAnsi="Calibri" w:cs="Calibri"/>
                <w:szCs w:val="22"/>
              </w:rPr>
              <w:t>T</w:t>
            </w:r>
            <w:r w:rsidRPr="00F0797D">
              <w:rPr>
                <w:rFonts w:ascii="Calibri" w:hAnsi="Calibri" w:cs="Calibri"/>
                <w:szCs w:val="22"/>
              </w:rPr>
              <w:t>he requirements for an Environmental Impact Assessment</w:t>
            </w:r>
            <w:r w:rsidRPr="00F0797D">
              <w:rPr>
                <w:rStyle w:val="FootnoteReference"/>
                <w:rFonts w:ascii="Calibri" w:hAnsi="Calibri" w:cs="Calibri"/>
                <w:szCs w:val="22"/>
              </w:rPr>
              <w:footnoteReference w:id="87"/>
            </w:r>
            <w:r w:rsidRPr="00F0797D">
              <w:rPr>
                <w:rFonts w:ascii="Calibri" w:hAnsi="Calibri" w:cs="Calibri"/>
                <w:szCs w:val="22"/>
              </w:rPr>
              <w:t xml:space="preserve"> by applicants interested in undertakings that could adversely affect the environments,</w:t>
            </w:r>
          </w:p>
          <w:p w14:paraId="162B4EFA" w14:textId="77777777" w:rsidR="004D1524" w:rsidRPr="00F0797D" w:rsidRDefault="004D1524" w:rsidP="0039326F">
            <w:pPr>
              <w:numPr>
                <w:ilvl w:val="0"/>
                <w:numId w:val="21"/>
              </w:numPr>
              <w:rPr>
                <w:rFonts w:ascii="Calibri" w:hAnsi="Calibri" w:cs="Calibri"/>
                <w:szCs w:val="22"/>
              </w:rPr>
            </w:pPr>
            <w:commentRangeStart w:id="11"/>
            <w:r>
              <w:rPr>
                <w:rFonts w:ascii="Calibri" w:hAnsi="Calibri" w:cs="Calibri"/>
                <w:szCs w:val="22"/>
              </w:rPr>
              <w:t>T</w:t>
            </w:r>
            <w:r w:rsidRPr="00F0797D">
              <w:rPr>
                <w:rFonts w:ascii="Calibri" w:hAnsi="Calibri" w:cs="Calibri"/>
                <w:szCs w:val="22"/>
              </w:rPr>
              <w:t xml:space="preserve">he regulations aimed at preventing the waste of trees or timber in an area outside a forest reserve, as well as </w:t>
            </w:r>
          </w:p>
          <w:p w14:paraId="1681979A" w14:textId="77777777" w:rsidR="004D1524" w:rsidRPr="00F0797D" w:rsidRDefault="004D1524" w:rsidP="0039326F">
            <w:pPr>
              <w:numPr>
                <w:ilvl w:val="0"/>
                <w:numId w:val="21"/>
              </w:numPr>
              <w:rPr>
                <w:rFonts w:ascii="Calibri" w:hAnsi="Calibri" w:cs="Calibri"/>
                <w:szCs w:val="22"/>
              </w:rPr>
            </w:pPr>
            <w:r>
              <w:rPr>
                <w:rFonts w:ascii="Calibri" w:hAnsi="Calibri" w:cs="Calibri"/>
                <w:szCs w:val="22"/>
              </w:rPr>
              <w:t>T</w:t>
            </w:r>
            <w:r w:rsidRPr="00F0797D">
              <w:rPr>
                <w:rFonts w:ascii="Calibri" w:hAnsi="Calibri" w:cs="Calibri"/>
                <w:szCs w:val="22"/>
              </w:rPr>
              <w:t>hose mandating the Minister to keep each protected area under review and laws regulating farming in protected areas</w:t>
            </w:r>
            <w:commentRangeEnd w:id="11"/>
            <w:r>
              <w:rPr>
                <w:rStyle w:val="CommentReference"/>
              </w:rPr>
              <w:commentReference w:id="11"/>
            </w:r>
          </w:p>
          <w:p w14:paraId="04A1AD11" w14:textId="77777777" w:rsidR="004D1524" w:rsidRPr="00F0797D" w:rsidRDefault="004D1524" w:rsidP="00483E52">
            <w:pPr>
              <w:spacing w:after="200" w:line="252" w:lineRule="auto"/>
              <w:rPr>
                <w:rFonts w:ascii="Calibri" w:hAnsi="Calibri" w:cs="Calibri"/>
                <w:szCs w:val="22"/>
              </w:rPr>
            </w:pPr>
          </w:p>
        </w:tc>
        <w:tc>
          <w:tcPr>
            <w:tcW w:w="1357" w:type="pct"/>
            <w:vMerge/>
            <w:shd w:val="clear" w:color="auto" w:fill="auto"/>
          </w:tcPr>
          <w:p w14:paraId="4979088B" w14:textId="77777777" w:rsidR="004D1524" w:rsidRPr="00F0797D" w:rsidRDefault="004D1524" w:rsidP="00483E52">
            <w:pPr>
              <w:rPr>
                <w:rFonts w:ascii="Calibri" w:hAnsi="Calibri" w:cs="Calibri"/>
                <w:szCs w:val="22"/>
              </w:rPr>
            </w:pPr>
          </w:p>
        </w:tc>
      </w:tr>
      <w:tr w:rsidR="004D1524" w:rsidRPr="00F0797D" w14:paraId="2B351A99" w14:textId="77777777" w:rsidTr="00483E52">
        <w:tc>
          <w:tcPr>
            <w:tcW w:w="1282" w:type="pct"/>
            <w:shd w:val="clear" w:color="auto" w:fill="auto"/>
          </w:tcPr>
          <w:p w14:paraId="77924480" w14:textId="77777777" w:rsidR="004D1524" w:rsidRPr="00F0797D" w:rsidRDefault="004D1524" w:rsidP="00483E52">
            <w:pPr>
              <w:rPr>
                <w:rFonts w:ascii="Calibri" w:hAnsi="Calibri" w:cs="Calibri"/>
                <w:szCs w:val="22"/>
              </w:rPr>
            </w:pPr>
            <w:r w:rsidRPr="00F0797D">
              <w:rPr>
                <w:rFonts w:ascii="Calibri" w:hAnsi="Calibri" w:cs="Calibri"/>
                <w:szCs w:val="22"/>
              </w:rPr>
              <w:lastRenderedPageBreak/>
              <w:t xml:space="preserve">E.3 The </w:t>
            </w:r>
            <w:r w:rsidRPr="00F0797D">
              <w:rPr>
                <w:rFonts w:ascii="Calibri" w:hAnsi="Calibri" w:cs="Calibri"/>
                <w:color w:val="000000"/>
                <w:szCs w:val="22"/>
              </w:rPr>
              <w:t xml:space="preserve">ecological, biological, climatic, and socio-economic, </w:t>
            </w:r>
            <w:r w:rsidRPr="00F0797D">
              <w:rPr>
                <w:rFonts w:ascii="Calibri" w:hAnsi="Calibri" w:cs="Calibri"/>
                <w:szCs w:val="22"/>
              </w:rPr>
              <w:t>benefits provided by forests are recognised and enhanced throughout the implementation of the REDD+ interventions</w:t>
            </w:r>
          </w:p>
        </w:tc>
        <w:tc>
          <w:tcPr>
            <w:tcW w:w="2361" w:type="pct"/>
            <w:shd w:val="clear" w:color="auto" w:fill="auto"/>
          </w:tcPr>
          <w:p w14:paraId="415AD344" w14:textId="77777777" w:rsidR="004D1524" w:rsidRPr="009B5A3B" w:rsidRDefault="004D1524" w:rsidP="00483E52">
            <w:pPr>
              <w:spacing w:after="200" w:line="252" w:lineRule="auto"/>
              <w:rPr>
                <w:rFonts w:ascii="Calibri" w:hAnsi="Calibri" w:cs="Calibri"/>
                <w:szCs w:val="22"/>
              </w:rPr>
            </w:pPr>
            <w:r w:rsidRPr="00F0797D">
              <w:rPr>
                <w:rFonts w:ascii="Calibri" w:hAnsi="Calibri" w:cs="Calibri"/>
                <w:szCs w:val="22"/>
              </w:rPr>
              <w:t>Ghana’s legal framework has provisions that seek to maintain and increase ecological, biological, climatic, socio-cultural and economic contributions of forest resources.</w:t>
            </w:r>
            <w:r w:rsidRPr="00F0797D">
              <w:rPr>
                <w:rStyle w:val="FootnoteReference"/>
                <w:rFonts w:ascii="Calibri" w:hAnsi="Calibri" w:cs="Calibri"/>
                <w:szCs w:val="22"/>
              </w:rPr>
              <w:footnoteReference w:id="88"/>
            </w:r>
            <w:r w:rsidRPr="00F0797D">
              <w:rPr>
                <w:rFonts w:ascii="Calibri" w:hAnsi="Calibri" w:cs="Calibri"/>
                <w:szCs w:val="22"/>
              </w:rPr>
              <w:t xml:space="preserve"> The Ghana Forest and Wildlife Policy and NBSAP for example,  promote the development of viable forest and wildlife based industries and livelihoods.</w:t>
            </w:r>
            <w:r w:rsidRPr="00F0797D">
              <w:rPr>
                <w:rStyle w:val="FootnoteReference"/>
                <w:rFonts w:ascii="Calibri" w:hAnsi="Calibri" w:cs="Calibri"/>
                <w:szCs w:val="22"/>
              </w:rPr>
              <w:footnoteReference w:id="89"/>
            </w:r>
          </w:p>
        </w:tc>
        <w:tc>
          <w:tcPr>
            <w:tcW w:w="1357" w:type="pct"/>
            <w:vMerge/>
            <w:shd w:val="clear" w:color="auto" w:fill="auto"/>
          </w:tcPr>
          <w:p w14:paraId="5467BFC7" w14:textId="77777777" w:rsidR="004D1524" w:rsidRPr="00F0797D" w:rsidRDefault="004D1524" w:rsidP="00483E52">
            <w:pPr>
              <w:rPr>
                <w:rFonts w:ascii="Calibri" w:hAnsi="Calibri" w:cs="Calibri"/>
                <w:szCs w:val="22"/>
              </w:rPr>
            </w:pPr>
          </w:p>
        </w:tc>
      </w:tr>
    </w:tbl>
    <w:p w14:paraId="2F4A293D" w14:textId="77777777" w:rsidR="004D1524" w:rsidRPr="00F0797D" w:rsidRDefault="004D1524" w:rsidP="004D1524">
      <w:pPr>
        <w:rPr>
          <w:rFonts w:ascii="Calibri" w:hAnsi="Calibri" w:cs="Calibri"/>
          <w:i/>
          <w:szCs w:val="22"/>
        </w:rPr>
      </w:pPr>
    </w:p>
    <w:p w14:paraId="4B1CD1D7" w14:textId="77777777" w:rsidR="004D1524" w:rsidRPr="00F0797D" w:rsidRDefault="004D1524" w:rsidP="004D1524">
      <w:pPr>
        <w:rPr>
          <w:rFonts w:ascii="Calibri" w:hAnsi="Calibri" w:cs="Calibri"/>
          <w:i/>
          <w:szCs w:val="22"/>
        </w:rPr>
      </w:pPr>
    </w:p>
    <w:p w14:paraId="2BAB064A" w14:textId="77777777" w:rsidR="004D1524" w:rsidRPr="00F0797D" w:rsidRDefault="004D1524" w:rsidP="004D1524">
      <w:pPr>
        <w:rPr>
          <w:rFonts w:ascii="Calibri" w:hAnsi="Calibri" w:cs="Calibri"/>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6649"/>
        <w:gridCol w:w="3725"/>
      </w:tblGrid>
      <w:tr w:rsidR="004D1524" w:rsidRPr="00F0797D" w14:paraId="2454426F" w14:textId="77777777" w:rsidTr="00483E52">
        <w:tc>
          <w:tcPr>
            <w:tcW w:w="5000" w:type="pct"/>
            <w:gridSpan w:val="3"/>
            <w:shd w:val="clear" w:color="auto" w:fill="E2EFD9"/>
          </w:tcPr>
          <w:p w14:paraId="5B1D0EE9" w14:textId="77777777" w:rsidR="004D1524" w:rsidRPr="00F0797D" w:rsidRDefault="004D1524" w:rsidP="00483E52">
            <w:pPr>
              <w:rPr>
                <w:rFonts w:ascii="Calibri" w:hAnsi="Calibri" w:cs="Calibri"/>
                <w:b/>
                <w:szCs w:val="22"/>
              </w:rPr>
            </w:pPr>
          </w:p>
          <w:p w14:paraId="04D1EC2C" w14:textId="77777777" w:rsidR="004D1524" w:rsidRPr="00F0797D" w:rsidRDefault="004D1524" w:rsidP="00483E52">
            <w:pPr>
              <w:rPr>
                <w:rFonts w:ascii="Calibri" w:hAnsi="Calibri" w:cs="Calibri"/>
                <w:i/>
                <w:szCs w:val="22"/>
              </w:rPr>
            </w:pPr>
            <w:r w:rsidRPr="00F0797D">
              <w:rPr>
                <w:rFonts w:ascii="Calibri" w:hAnsi="Calibri" w:cs="Calibri"/>
                <w:b/>
                <w:szCs w:val="22"/>
              </w:rPr>
              <w:t>UNFCCC REDD+ Safeguard F &amp; G, respectively: Actions to address the risks of reversals and Actions to reduce displacement of emissions</w:t>
            </w:r>
          </w:p>
          <w:p w14:paraId="045DFA34" w14:textId="77777777" w:rsidR="004D1524" w:rsidRPr="00F0797D" w:rsidRDefault="004D1524" w:rsidP="00483E52">
            <w:pPr>
              <w:rPr>
                <w:rFonts w:ascii="Calibri" w:hAnsi="Calibri" w:cs="Calibri"/>
                <w:b/>
                <w:szCs w:val="22"/>
              </w:rPr>
            </w:pPr>
          </w:p>
        </w:tc>
      </w:tr>
      <w:tr w:rsidR="004D1524" w:rsidRPr="00F0797D" w14:paraId="6F6342CE" w14:textId="77777777" w:rsidTr="00483E52">
        <w:tc>
          <w:tcPr>
            <w:tcW w:w="1282" w:type="pct"/>
            <w:shd w:val="clear" w:color="auto" w:fill="auto"/>
            <w:vAlign w:val="center"/>
          </w:tcPr>
          <w:p w14:paraId="4F854FE0" w14:textId="77777777" w:rsidR="004D1524" w:rsidRPr="00F0797D" w:rsidRDefault="004D1524" w:rsidP="00483E52">
            <w:pPr>
              <w:jc w:val="center"/>
              <w:rPr>
                <w:rFonts w:ascii="Calibri" w:hAnsi="Calibri" w:cs="Calibri"/>
                <w:b/>
                <w:szCs w:val="22"/>
                <w:lang w:val="es-ES"/>
              </w:rPr>
            </w:pPr>
            <w:r w:rsidRPr="00F0797D">
              <w:rPr>
                <w:rFonts w:ascii="Calibri" w:hAnsi="Calibri" w:cs="Calibri"/>
                <w:b/>
                <w:szCs w:val="22"/>
                <w:lang w:val="es-ES"/>
              </w:rPr>
              <w:t>Core elements</w:t>
            </w:r>
          </w:p>
        </w:tc>
        <w:tc>
          <w:tcPr>
            <w:tcW w:w="2383" w:type="pct"/>
            <w:shd w:val="clear" w:color="auto" w:fill="auto"/>
            <w:vAlign w:val="center"/>
          </w:tcPr>
          <w:p w14:paraId="48561D04" w14:textId="77777777" w:rsidR="004D1524" w:rsidRPr="00F0797D" w:rsidRDefault="004D1524" w:rsidP="00483E52">
            <w:pPr>
              <w:jc w:val="center"/>
              <w:rPr>
                <w:rFonts w:ascii="Calibri" w:hAnsi="Calibri" w:cs="Calibri"/>
                <w:b/>
                <w:szCs w:val="22"/>
                <w:lang w:val="es-ES"/>
              </w:rPr>
            </w:pPr>
            <w:r w:rsidRPr="00F0797D">
              <w:rPr>
                <w:rFonts w:ascii="Calibri" w:hAnsi="Calibri" w:cs="Calibri"/>
                <w:b/>
                <w:szCs w:val="22"/>
                <w:lang w:val="es-ES"/>
              </w:rPr>
              <w:t>Legal basis</w:t>
            </w:r>
            <w:r w:rsidRPr="00F0797D">
              <w:rPr>
                <w:rFonts w:ascii="Calibri" w:hAnsi="Calibri" w:cs="Calibri"/>
                <w:i/>
                <w:szCs w:val="22"/>
                <w:lang w:val="es-ES"/>
              </w:rPr>
              <w:t xml:space="preserve"> </w:t>
            </w:r>
          </w:p>
        </w:tc>
        <w:tc>
          <w:tcPr>
            <w:tcW w:w="1335" w:type="pct"/>
            <w:shd w:val="clear" w:color="auto" w:fill="auto"/>
          </w:tcPr>
          <w:p w14:paraId="2AA3F7B9" w14:textId="77777777" w:rsidR="004D1524" w:rsidRPr="00F0797D" w:rsidRDefault="004D1524" w:rsidP="00483E52">
            <w:pPr>
              <w:jc w:val="center"/>
              <w:rPr>
                <w:rFonts w:ascii="Calibri" w:hAnsi="Calibri" w:cs="Calibri"/>
                <w:b/>
                <w:szCs w:val="22"/>
                <w:lang w:val="es-ES"/>
              </w:rPr>
            </w:pPr>
            <w:r w:rsidRPr="00F0797D">
              <w:rPr>
                <w:rFonts w:ascii="Calibri" w:hAnsi="Calibri" w:cs="Calibri"/>
                <w:b/>
                <w:szCs w:val="22"/>
                <w:lang w:val="es-ES"/>
              </w:rPr>
              <w:t>Narrative Clarification</w:t>
            </w:r>
          </w:p>
        </w:tc>
      </w:tr>
      <w:tr w:rsidR="004D1524" w:rsidRPr="00F0797D" w14:paraId="22580309" w14:textId="77777777" w:rsidTr="00483E52">
        <w:tc>
          <w:tcPr>
            <w:tcW w:w="1282" w:type="pct"/>
            <w:shd w:val="clear" w:color="auto" w:fill="auto"/>
          </w:tcPr>
          <w:p w14:paraId="4E06C76E" w14:textId="77777777" w:rsidR="004D1524" w:rsidRPr="00F0797D" w:rsidRDefault="004D1524" w:rsidP="00483E52">
            <w:pPr>
              <w:rPr>
                <w:rFonts w:ascii="Calibri" w:hAnsi="Calibri" w:cs="Calibri"/>
                <w:szCs w:val="22"/>
              </w:rPr>
            </w:pPr>
          </w:p>
          <w:p w14:paraId="751DA4B1" w14:textId="77777777" w:rsidR="004D1524" w:rsidRPr="00F0797D" w:rsidRDefault="004D1524" w:rsidP="00483E52">
            <w:pPr>
              <w:rPr>
                <w:rFonts w:ascii="Calibri" w:hAnsi="Calibri" w:cs="Calibri"/>
                <w:szCs w:val="22"/>
              </w:rPr>
            </w:pPr>
            <w:r w:rsidRPr="00F0797D">
              <w:rPr>
                <w:rFonts w:ascii="Calibri" w:hAnsi="Calibri" w:cs="Calibri"/>
                <w:szCs w:val="22"/>
              </w:rPr>
              <w:t>The risks of reversals are addressed throughout the implementation of REDD+ strategy</w:t>
            </w:r>
          </w:p>
        </w:tc>
        <w:tc>
          <w:tcPr>
            <w:tcW w:w="2383" w:type="pct"/>
            <w:shd w:val="clear" w:color="auto" w:fill="auto"/>
          </w:tcPr>
          <w:p w14:paraId="0D44236C" w14:textId="77777777" w:rsidR="004D1524" w:rsidRPr="00F0797D" w:rsidRDefault="004D1524" w:rsidP="00483E52">
            <w:pPr>
              <w:rPr>
                <w:rFonts w:ascii="Calibri" w:hAnsi="Calibri" w:cs="Calibri"/>
                <w:szCs w:val="22"/>
              </w:rPr>
            </w:pPr>
            <w:r w:rsidRPr="00F0797D">
              <w:rPr>
                <w:rFonts w:ascii="Calibri" w:hAnsi="Calibri" w:cs="Calibri"/>
                <w:szCs w:val="22"/>
              </w:rPr>
              <w:t>The Ghanaian legal framework generally requires the sustainable utilisation of forests and other relevant resources,</w:t>
            </w:r>
            <w:r w:rsidRPr="00F0797D">
              <w:rPr>
                <w:rStyle w:val="FootnoteReference"/>
                <w:rFonts w:ascii="Calibri" w:hAnsi="Calibri" w:cs="Calibri"/>
                <w:szCs w:val="22"/>
              </w:rPr>
              <w:footnoteReference w:id="90"/>
            </w:r>
            <w:r w:rsidRPr="00F0797D">
              <w:rPr>
                <w:rFonts w:ascii="Calibri" w:hAnsi="Calibri" w:cs="Calibri"/>
                <w:szCs w:val="22"/>
              </w:rPr>
              <w:t xml:space="preserve"> regulates against unsanctioned bushfires,</w:t>
            </w:r>
            <w:r w:rsidRPr="00F0797D">
              <w:rPr>
                <w:rStyle w:val="FootnoteReference"/>
                <w:rFonts w:ascii="Calibri" w:hAnsi="Calibri" w:cs="Calibri"/>
                <w:szCs w:val="22"/>
              </w:rPr>
              <w:footnoteReference w:id="91"/>
            </w:r>
            <w:r w:rsidRPr="00F0797D">
              <w:rPr>
                <w:rFonts w:ascii="Calibri" w:hAnsi="Calibri" w:cs="Calibri"/>
                <w:szCs w:val="22"/>
              </w:rPr>
              <w:t xml:space="preserve"> and outlines legal and illegal behaviours within the forest sector, as well as the sanctions for breaches of the laws</w:t>
            </w:r>
            <w:r w:rsidRPr="00F0797D">
              <w:rPr>
                <w:rStyle w:val="FootnoteReference"/>
                <w:rFonts w:ascii="Calibri" w:hAnsi="Calibri" w:cs="Calibri"/>
                <w:szCs w:val="22"/>
              </w:rPr>
              <w:footnoteReference w:id="92"/>
            </w:r>
            <w:r w:rsidRPr="00F0797D">
              <w:rPr>
                <w:rFonts w:ascii="Calibri" w:hAnsi="Calibri" w:cs="Calibri"/>
                <w:szCs w:val="22"/>
              </w:rPr>
              <w:t>. Ghana’s PLRs have also mandated the adoption of a wood tracking system to tackle illegal logging,</w:t>
            </w:r>
            <w:r w:rsidRPr="00F0797D">
              <w:rPr>
                <w:rStyle w:val="FootnoteReference"/>
                <w:rFonts w:ascii="Calibri" w:hAnsi="Calibri" w:cs="Calibri"/>
                <w:szCs w:val="22"/>
              </w:rPr>
              <w:footnoteReference w:id="93"/>
            </w:r>
            <w:r w:rsidRPr="00F0797D">
              <w:rPr>
                <w:rFonts w:ascii="Calibri" w:hAnsi="Calibri" w:cs="Calibri"/>
                <w:szCs w:val="22"/>
              </w:rPr>
              <w:t xml:space="preserve"> and the EPA Act, anticipating the need for a scientific approach and technical expertise for the effective management of the forest and its resources, provides for it by mandating the Agency to, develop and administer training programmes, the aim of which is to adequately equip its personnel with the requisite technical expertise for the management of the forest and its resources.</w:t>
            </w:r>
          </w:p>
          <w:p w14:paraId="0A0FA94C" w14:textId="77777777" w:rsidR="004D1524" w:rsidRPr="00F0797D" w:rsidRDefault="004D1524" w:rsidP="00483E52">
            <w:pPr>
              <w:rPr>
                <w:rFonts w:ascii="Calibri" w:hAnsi="Calibri" w:cs="Calibri"/>
                <w:szCs w:val="22"/>
              </w:rPr>
            </w:pPr>
          </w:p>
        </w:tc>
        <w:tc>
          <w:tcPr>
            <w:tcW w:w="1335" w:type="pct"/>
            <w:vMerge w:val="restart"/>
            <w:shd w:val="clear" w:color="auto" w:fill="auto"/>
          </w:tcPr>
          <w:p w14:paraId="15DE91E4" w14:textId="77777777" w:rsidR="004D1524" w:rsidRPr="00F0797D" w:rsidRDefault="004D1524" w:rsidP="00483E52">
            <w:pPr>
              <w:rPr>
                <w:rFonts w:ascii="Calibri" w:hAnsi="Calibri" w:cs="Calibri"/>
                <w:b/>
                <w:szCs w:val="22"/>
              </w:rPr>
            </w:pPr>
          </w:p>
          <w:p w14:paraId="168FA408" w14:textId="77777777" w:rsidR="004D1524" w:rsidRPr="00F0797D" w:rsidRDefault="004D1524" w:rsidP="00483E52">
            <w:pPr>
              <w:rPr>
                <w:rFonts w:ascii="Calibri" w:hAnsi="Calibri" w:cs="Calibri"/>
                <w:b/>
                <w:szCs w:val="22"/>
              </w:rPr>
            </w:pPr>
            <w:r w:rsidRPr="00F0797D">
              <w:rPr>
                <w:rFonts w:ascii="Calibri" w:hAnsi="Calibri" w:cs="Calibri"/>
                <w:b/>
                <w:szCs w:val="22"/>
              </w:rPr>
              <w:t xml:space="preserve">Actions to address risks of reversals and displacement of emissions are taken throughout the implementation of the REDD+ interventions </w:t>
            </w:r>
          </w:p>
          <w:p w14:paraId="1F949655" w14:textId="77777777" w:rsidR="004D1524" w:rsidRPr="00F0797D" w:rsidRDefault="004D1524" w:rsidP="00483E52">
            <w:pPr>
              <w:rPr>
                <w:rFonts w:ascii="Calibri" w:hAnsi="Calibri" w:cs="Calibri"/>
                <w:b/>
                <w:szCs w:val="22"/>
              </w:rPr>
            </w:pPr>
          </w:p>
        </w:tc>
      </w:tr>
      <w:tr w:rsidR="004D1524" w:rsidRPr="00F0797D" w14:paraId="66E89580" w14:textId="77777777" w:rsidTr="00483E52">
        <w:tc>
          <w:tcPr>
            <w:tcW w:w="1282" w:type="pct"/>
            <w:shd w:val="clear" w:color="auto" w:fill="auto"/>
          </w:tcPr>
          <w:p w14:paraId="2579470A" w14:textId="77777777" w:rsidR="004D1524" w:rsidRPr="00F0797D" w:rsidRDefault="004D1524" w:rsidP="00483E52">
            <w:pPr>
              <w:rPr>
                <w:rFonts w:ascii="Calibri" w:hAnsi="Calibri" w:cs="Calibri"/>
                <w:szCs w:val="22"/>
              </w:rPr>
            </w:pPr>
          </w:p>
          <w:p w14:paraId="38A70B26" w14:textId="77777777" w:rsidR="004D1524" w:rsidRPr="00F0797D" w:rsidRDefault="004D1524" w:rsidP="00483E52">
            <w:pPr>
              <w:rPr>
                <w:rFonts w:ascii="Calibri" w:hAnsi="Calibri" w:cs="Calibri"/>
                <w:szCs w:val="22"/>
              </w:rPr>
            </w:pPr>
            <w:r w:rsidRPr="00F0797D">
              <w:rPr>
                <w:rFonts w:ascii="Calibri" w:hAnsi="Calibri" w:cs="Calibri"/>
                <w:szCs w:val="22"/>
              </w:rPr>
              <w:lastRenderedPageBreak/>
              <w:t>The risks of -displacement are addressed throughout the implementation of REDD+ strategy</w:t>
            </w:r>
          </w:p>
        </w:tc>
        <w:tc>
          <w:tcPr>
            <w:tcW w:w="2383" w:type="pct"/>
            <w:shd w:val="clear" w:color="auto" w:fill="auto"/>
          </w:tcPr>
          <w:p w14:paraId="7B637356" w14:textId="77777777" w:rsidR="004D1524" w:rsidRPr="00F0797D" w:rsidRDefault="004D1524" w:rsidP="00483E52">
            <w:pPr>
              <w:rPr>
                <w:rFonts w:ascii="Calibri" w:hAnsi="Calibri" w:cs="Calibri"/>
                <w:szCs w:val="22"/>
              </w:rPr>
            </w:pPr>
            <w:r w:rsidRPr="00F0797D">
              <w:rPr>
                <w:rFonts w:ascii="Calibri" w:hAnsi="Calibri" w:cs="Calibri"/>
                <w:szCs w:val="22"/>
              </w:rPr>
              <w:lastRenderedPageBreak/>
              <w:t xml:space="preserve">As part of the development of the GRS and ERPD, the key drivers of deforestation and degradation, and potentially opportunities for forest </w:t>
            </w:r>
            <w:r w:rsidRPr="00F0797D">
              <w:rPr>
                <w:rFonts w:ascii="Calibri" w:hAnsi="Calibri" w:cs="Calibri"/>
                <w:szCs w:val="22"/>
              </w:rPr>
              <w:lastRenderedPageBreak/>
              <w:t xml:space="preserve">enhancement </w:t>
            </w:r>
            <w:r w:rsidRPr="0019554D">
              <w:rPr>
                <w:rFonts w:ascii="Calibri" w:hAnsi="Calibri" w:cs="Calibri"/>
                <w:szCs w:val="22"/>
              </w:rPr>
              <w:t>will</w:t>
            </w:r>
            <w:r w:rsidRPr="00F0797D">
              <w:rPr>
                <w:rFonts w:ascii="Calibri" w:hAnsi="Calibri" w:cs="Calibri"/>
                <w:szCs w:val="22"/>
              </w:rPr>
              <w:t xml:space="preserve"> be identified, and the GRS and ERPD </w:t>
            </w:r>
            <w:r w:rsidRPr="0019554D">
              <w:rPr>
                <w:rFonts w:ascii="Calibri" w:hAnsi="Calibri" w:cs="Calibri"/>
                <w:szCs w:val="22"/>
              </w:rPr>
              <w:t>will</w:t>
            </w:r>
            <w:r w:rsidRPr="00F0797D">
              <w:rPr>
                <w:rFonts w:ascii="Calibri" w:hAnsi="Calibri" w:cs="Calibri"/>
                <w:szCs w:val="22"/>
              </w:rPr>
              <w:t xml:space="preserve"> clarify how these drivers are to be addressed by the REDD+ interventions. Potential social and environmental impacts of the proposed interventions </w:t>
            </w:r>
            <w:r w:rsidRPr="0019554D">
              <w:rPr>
                <w:rFonts w:ascii="Calibri" w:hAnsi="Calibri" w:cs="Calibri"/>
                <w:szCs w:val="22"/>
              </w:rPr>
              <w:t>will</w:t>
            </w:r>
            <w:r w:rsidRPr="00F0797D">
              <w:rPr>
                <w:rFonts w:ascii="Calibri" w:hAnsi="Calibri" w:cs="Calibri"/>
                <w:szCs w:val="22"/>
              </w:rPr>
              <w:t xml:space="preserve"> be identified and mitigated, including conflicts linked to tenure/land rights in REDD+ intervention areas. The NFMS is also expected</w:t>
            </w:r>
            <w:r w:rsidRPr="0019554D">
              <w:rPr>
                <w:rFonts w:ascii="Calibri" w:hAnsi="Calibri" w:cs="Calibri"/>
                <w:szCs w:val="22"/>
              </w:rPr>
              <w:t xml:space="preserve"> of </w:t>
            </w:r>
            <w:r w:rsidRPr="00F0797D">
              <w:rPr>
                <w:rFonts w:ascii="Calibri" w:hAnsi="Calibri" w:cs="Calibri"/>
                <w:szCs w:val="22"/>
              </w:rPr>
              <w:t>identifying instances of displacement so that steps can be taken to address them</w:t>
            </w:r>
            <w:r w:rsidRPr="0019554D">
              <w:rPr>
                <w:rFonts w:ascii="Calibri" w:hAnsi="Calibri" w:cs="Calibri"/>
                <w:szCs w:val="22"/>
              </w:rPr>
              <w:t>.</w:t>
            </w:r>
          </w:p>
        </w:tc>
        <w:tc>
          <w:tcPr>
            <w:tcW w:w="1335" w:type="pct"/>
            <w:vMerge/>
            <w:shd w:val="clear" w:color="auto" w:fill="auto"/>
          </w:tcPr>
          <w:p w14:paraId="314CB5D6" w14:textId="77777777" w:rsidR="004D1524" w:rsidRPr="00F0797D" w:rsidRDefault="004D1524" w:rsidP="00483E52">
            <w:pPr>
              <w:rPr>
                <w:rFonts w:ascii="Calibri" w:hAnsi="Calibri" w:cs="Calibri"/>
                <w:szCs w:val="22"/>
              </w:rPr>
            </w:pPr>
          </w:p>
        </w:tc>
      </w:tr>
    </w:tbl>
    <w:p w14:paraId="03BC49A3" w14:textId="77777777" w:rsidR="004D1524" w:rsidRPr="00F0797D" w:rsidRDefault="004D1524" w:rsidP="004D1524">
      <w:pPr>
        <w:rPr>
          <w:rFonts w:ascii="Calibri" w:hAnsi="Calibri" w:cs="Calibri"/>
          <w:szCs w:val="22"/>
        </w:rPr>
      </w:pPr>
      <w:r w:rsidRPr="00F0797D">
        <w:rPr>
          <w:rFonts w:ascii="Calibri" w:hAnsi="Calibri" w:cs="Calibri"/>
          <w:szCs w:val="22"/>
        </w:rPr>
        <w:t xml:space="preserve"> </w:t>
      </w:r>
    </w:p>
    <w:p w14:paraId="6961A889" w14:textId="77777777" w:rsidR="004D1524" w:rsidRPr="00F0797D" w:rsidRDefault="004D1524" w:rsidP="004D1524">
      <w:pPr>
        <w:pStyle w:val="Heading1"/>
        <w:spacing w:before="0"/>
        <w:rPr>
          <w:rFonts w:ascii="Calibri" w:hAnsi="Calibri" w:cs="Calibri"/>
          <w:b/>
          <w:sz w:val="22"/>
          <w:szCs w:val="22"/>
        </w:rPr>
      </w:pPr>
    </w:p>
    <w:p w14:paraId="000A5090" w14:textId="368A60A9" w:rsidR="009B0C71" w:rsidRDefault="009B0C71">
      <w:pPr>
        <w:ind w:left="720"/>
        <w:rPr>
          <w:rFonts w:asciiTheme="majorHAnsi" w:hAnsiTheme="majorHAnsi"/>
          <w:color w:val="2F5496" w:themeColor="accent1" w:themeShade="BF"/>
          <w:sz w:val="32"/>
          <w:szCs w:val="32"/>
        </w:rPr>
        <w:sectPr w:rsidR="009B0C71" w:rsidSect="004D1524">
          <w:pgSz w:w="16840" w:h="11900" w:orient="landscape"/>
          <w:pgMar w:top="1440" w:right="1440" w:bottom="1440" w:left="1440" w:header="720" w:footer="720" w:gutter="0"/>
          <w:cols w:space="720"/>
          <w:docGrid w:linePitch="360"/>
        </w:sectPr>
      </w:pPr>
    </w:p>
    <w:p w14:paraId="666D5F38" w14:textId="12ECF381" w:rsidR="00630EA9" w:rsidRPr="00065892" w:rsidRDefault="00CF6268" w:rsidP="001D248E">
      <w:pPr>
        <w:pStyle w:val="Heading1"/>
      </w:pPr>
      <w:r>
        <w:lastRenderedPageBreak/>
        <w:t xml:space="preserve"> </w:t>
      </w:r>
      <w:bookmarkStart w:id="12" w:name="_Toc523385933"/>
      <w:r w:rsidR="00AB177B">
        <w:t xml:space="preserve">Part III: </w:t>
      </w:r>
      <w:r w:rsidR="00630EA9" w:rsidRPr="00065892">
        <w:t>Measures</w:t>
      </w:r>
      <w:r w:rsidR="00B30E59">
        <w:t xml:space="preserve"> put</w:t>
      </w:r>
      <w:r w:rsidR="00630EA9" w:rsidRPr="00065892">
        <w:t xml:space="preserve"> in place to address the </w:t>
      </w:r>
      <w:r w:rsidR="00B30E59">
        <w:t xml:space="preserve">Cancun </w:t>
      </w:r>
      <w:r w:rsidR="00630EA9" w:rsidRPr="00065892">
        <w:t>safeguards</w:t>
      </w:r>
      <w:bookmarkEnd w:id="10"/>
      <w:bookmarkEnd w:id="12"/>
    </w:p>
    <w:p w14:paraId="0CEAC6CE" w14:textId="414D3177" w:rsidR="00630EA9" w:rsidRDefault="00630EA9" w:rsidP="00630EA9"/>
    <w:p w14:paraId="0CF76CBA" w14:textId="1FBAF3F8" w:rsidR="0096518E" w:rsidRPr="001D248E" w:rsidRDefault="0096518E" w:rsidP="0039326F">
      <w:pPr>
        <w:pStyle w:val="Heading2"/>
        <w:numPr>
          <w:ilvl w:val="0"/>
          <w:numId w:val="12"/>
        </w:numPr>
        <w:rPr>
          <w:rFonts w:eastAsia="Arial"/>
        </w:rPr>
      </w:pPr>
      <w:bookmarkStart w:id="13" w:name="_Toc523385934"/>
      <w:r>
        <w:rPr>
          <w:rFonts w:eastAsia="Arial"/>
        </w:rPr>
        <w:t>Introduction</w:t>
      </w:r>
      <w:bookmarkEnd w:id="13"/>
    </w:p>
    <w:p w14:paraId="6C3EC9C9" w14:textId="77777777" w:rsidR="0096518E" w:rsidRDefault="0096518E" w:rsidP="003A23DE">
      <w:pPr>
        <w:rPr>
          <w:rFonts w:eastAsia="Arial" w:cs="Arial"/>
          <w:bCs/>
          <w:color w:val="000000" w:themeColor="text1"/>
        </w:rPr>
      </w:pPr>
    </w:p>
    <w:p w14:paraId="3E2F2281" w14:textId="749443DA" w:rsidR="003A23DE" w:rsidRPr="00DC3415" w:rsidRDefault="003A23DE" w:rsidP="003A23DE">
      <w:pPr>
        <w:rPr>
          <w:rFonts w:eastAsia="Arial" w:cs="Arial"/>
          <w:bCs/>
          <w:color w:val="000000" w:themeColor="text1"/>
        </w:rPr>
      </w:pPr>
      <w:r>
        <w:rPr>
          <w:rFonts w:eastAsia="Arial" w:cs="Arial"/>
          <w:bCs/>
          <w:color w:val="000000" w:themeColor="text1"/>
        </w:rPr>
        <w:t>R</w:t>
      </w:r>
      <w:r w:rsidRPr="00DC3415">
        <w:rPr>
          <w:rFonts w:eastAsia="Arial" w:cs="Arial"/>
          <w:bCs/>
          <w:color w:val="000000" w:themeColor="text1"/>
        </w:rPr>
        <w:t>esponding to the requirement in UNFCCC Decision 12/CP. 19 paragraph 4</w:t>
      </w:r>
      <w:r w:rsidR="00B30E59">
        <w:rPr>
          <w:rFonts w:eastAsia="Arial" w:cs="Arial"/>
          <w:bCs/>
          <w:color w:val="000000" w:themeColor="text1"/>
        </w:rPr>
        <w:t>,</w:t>
      </w:r>
      <w:r w:rsidRPr="00DC3415">
        <w:rPr>
          <w:rFonts w:eastAsia="Arial" w:cs="Arial"/>
          <w:bCs/>
          <w:color w:val="000000" w:themeColor="text1"/>
        </w:rPr>
        <w:t xml:space="preserve"> </w:t>
      </w:r>
      <w:r>
        <w:rPr>
          <w:rFonts w:eastAsia="Arial" w:cs="Arial"/>
          <w:bCs/>
          <w:color w:val="000000" w:themeColor="text1"/>
        </w:rPr>
        <w:t xml:space="preserve">Ghana is expected to </w:t>
      </w:r>
      <w:r w:rsidRPr="00DC3415">
        <w:rPr>
          <w:rFonts w:eastAsia="Arial" w:cs="Arial"/>
          <w:bCs/>
          <w:color w:val="000000" w:themeColor="text1"/>
        </w:rPr>
        <w:t xml:space="preserve">submit the most recent SoI that describes </w:t>
      </w:r>
      <w:r>
        <w:rPr>
          <w:rFonts w:eastAsia="Arial" w:cs="Arial"/>
          <w:bCs/>
          <w:color w:val="000000" w:themeColor="text1"/>
        </w:rPr>
        <w:t>the country</w:t>
      </w:r>
      <w:r w:rsidRPr="00DC3415">
        <w:rPr>
          <w:rFonts w:eastAsia="Arial" w:cs="Arial"/>
          <w:bCs/>
          <w:color w:val="000000" w:themeColor="text1"/>
        </w:rPr>
        <w:t>’s overall approach to safeguards implementation</w:t>
      </w:r>
      <w:r>
        <w:rPr>
          <w:rFonts w:eastAsia="Arial" w:cs="Arial"/>
          <w:bCs/>
          <w:color w:val="000000" w:themeColor="text1"/>
        </w:rPr>
        <w:t xml:space="preserve">, and in particular, how the seven </w:t>
      </w:r>
      <w:r w:rsidR="003A7F39">
        <w:rPr>
          <w:rFonts w:eastAsia="Arial" w:cs="Arial"/>
          <w:bCs/>
          <w:color w:val="000000" w:themeColor="text1"/>
        </w:rPr>
        <w:t>Cancun</w:t>
      </w:r>
      <w:r>
        <w:rPr>
          <w:rFonts w:eastAsia="Arial" w:cs="Arial"/>
          <w:bCs/>
          <w:color w:val="000000" w:themeColor="text1"/>
        </w:rPr>
        <w:t xml:space="preserve"> safeguards have been </w:t>
      </w:r>
      <w:r w:rsidRPr="001D248E">
        <w:rPr>
          <w:rFonts w:eastAsia="Arial" w:cs="Arial"/>
          <w:b/>
          <w:color w:val="000000" w:themeColor="text1"/>
        </w:rPr>
        <w:t>addressed</w:t>
      </w:r>
      <w:r>
        <w:rPr>
          <w:rFonts w:eastAsia="Arial" w:cs="Arial"/>
          <w:bCs/>
          <w:color w:val="000000" w:themeColor="text1"/>
        </w:rPr>
        <w:t xml:space="preserve"> and </w:t>
      </w:r>
      <w:r w:rsidRPr="001D248E">
        <w:rPr>
          <w:rFonts w:eastAsia="Arial" w:cs="Arial"/>
          <w:b/>
          <w:color w:val="000000" w:themeColor="text1"/>
        </w:rPr>
        <w:t>respected</w:t>
      </w:r>
      <w:r>
        <w:rPr>
          <w:rFonts w:eastAsia="Arial" w:cs="Arial"/>
          <w:bCs/>
          <w:color w:val="000000" w:themeColor="text1"/>
        </w:rPr>
        <w:t>.</w:t>
      </w:r>
    </w:p>
    <w:p w14:paraId="314B78D2" w14:textId="77777777" w:rsidR="003A23DE" w:rsidRPr="00DC3415" w:rsidRDefault="003A23DE" w:rsidP="003A23DE">
      <w:pPr>
        <w:rPr>
          <w:rFonts w:eastAsia="Arial" w:cs="Arial"/>
          <w:bCs/>
          <w:color w:val="000000" w:themeColor="text1"/>
        </w:rPr>
      </w:pPr>
    </w:p>
    <w:p w14:paraId="496F7746" w14:textId="6EE87658" w:rsidR="00AB7386" w:rsidRDefault="003A23DE" w:rsidP="002334FB">
      <w:pPr>
        <w:rPr>
          <w:rFonts w:cs="Arial"/>
        </w:rPr>
      </w:pPr>
      <w:r>
        <w:t>This SoI</w:t>
      </w:r>
      <w:r w:rsidR="002334FB">
        <w:t xml:space="preserve"> is</w:t>
      </w:r>
      <w:r w:rsidRPr="00DC3415">
        <w:t xml:space="preserve"> intended to provide information on how </w:t>
      </w:r>
      <w:r>
        <w:t>Ghana has committed to</w:t>
      </w:r>
      <w:r w:rsidRPr="00DC3415">
        <w:t xml:space="preserve"> </w:t>
      </w:r>
      <w:r>
        <w:t>addressing</w:t>
      </w:r>
      <w:r w:rsidRPr="00DC3415">
        <w:t xml:space="preserve"> and respect</w:t>
      </w:r>
      <w:r>
        <w:t xml:space="preserve">ing the </w:t>
      </w:r>
      <w:r w:rsidR="00553E1C">
        <w:t>Cancun</w:t>
      </w:r>
      <w:r>
        <w:t xml:space="preserve"> Safeguards</w:t>
      </w:r>
      <w:r w:rsidRPr="00DC3415">
        <w:t xml:space="preserve"> throughout the implementation of REDD+.</w:t>
      </w:r>
      <w:r w:rsidR="002334FB">
        <w:t xml:space="preserve"> To that end, </w:t>
      </w:r>
      <w:r w:rsidR="002334FB">
        <w:rPr>
          <w:rFonts w:cs="Arial"/>
        </w:rPr>
        <w:t>w</w:t>
      </w:r>
      <w:r w:rsidRPr="00CB2FFD">
        <w:rPr>
          <w:rFonts w:cs="Arial"/>
        </w:rPr>
        <w:t xml:space="preserve">e note that this initial SoI, is prepared prior to REDD+ implementation and therefore only provides information on the measures in place in </w:t>
      </w:r>
      <w:r>
        <w:rPr>
          <w:rFonts w:cs="Arial"/>
        </w:rPr>
        <w:t>Ghana</w:t>
      </w:r>
      <w:r w:rsidRPr="00CB2FFD">
        <w:rPr>
          <w:rFonts w:cs="Arial"/>
        </w:rPr>
        <w:t>, rather than of the outcomes of implementation.</w:t>
      </w:r>
    </w:p>
    <w:p w14:paraId="7CB8C6DD" w14:textId="57B1F82E" w:rsidR="002334FB" w:rsidRDefault="002334FB" w:rsidP="002334FB"/>
    <w:p w14:paraId="61F56BB4" w14:textId="242C3796" w:rsidR="00AB1AC1" w:rsidRDefault="002334FB" w:rsidP="002334FB">
      <w:r>
        <w:t>This section is dedicated, therefore, to the</w:t>
      </w:r>
      <w:r w:rsidR="00B30E59">
        <w:t xml:space="preserve"> approaches by </w:t>
      </w:r>
      <w:r>
        <w:t xml:space="preserve">which Ghana </w:t>
      </w:r>
      <w:r w:rsidR="00553E1C">
        <w:t xml:space="preserve">is </w:t>
      </w:r>
      <w:r w:rsidR="00202BB3">
        <w:t>“</w:t>
      </w:r>
      <w:r w:rsidR="00553E1C">
        <w:t>a</w:t>
      </w:r>
      <w:r>
        <w:t>ddress</w:t>
      </w:r>
      <w:r w:rsidR="00553E1C">
        <w:t>ing</w:t>
      </w:r>
      <w:r w:rsidR="00202BB3">
        <w:t>”</w:t>
      </w:r>
      <w:r>
        <w:t xml:space="preserve"> the </w:t>
      </w:r>
      <w:r w:rsidR="00553E1C">
        <w:t xml:space="preserve">Cancun </w:t>
      </w:r>
      <w:r>
        <w:t xml:space="preserve">safeguards. </w:t>
      </w:r>
      <w:r>
        <w:rPr>
          <w:b/>
          <w:bCs/>
        </w:rPr>
        <w:t xml:space="preserve">Addressing </w:t>
      </w:r>
      <w:r>
        <w:t xml:space="preserve">the safeguards </w:t>
      </w:r>
      <w:r w:rsidRPr="002334FB">
        <w:t>relates to</w:t>
      </w:r>
      <w:r w:rsidR="00AB1AC1">
        <w:t>:</w:t>
      </w:r>
    </w:p>
    <w:p w14:paraId="3BAEB3FE" w14:textId="77777777" w:rsidR="00AB1AC1" w:rsidRDefault="00AB1AC1" w:rsidP="001D248E">
      <w:pPr>
        <w:pStyle w:val="ListParagraph"/>
      </w:pPr>
    </w:p>
    <w:p w14:paraId="52209D0E" w14:textId="2157ADAE" w:rsidR="00AB1AC1" w:rsidRDefault="00AB1AC1" w:rsidP="0039326F">
      <w:pPr>
        <w:pStyle w:val="ListParagraph"/>
        <w:numPr>
          <w:ilvl w:val="0"/>
          <w:numId w:val="11"/>
        </w:numPr>
      </w:pPr>
      <w:r w:rsidRPr="00AB1AC1">
        <w:t xml:space="preserve">Description of the legal framework: laws, policies, regulations, plans, and programs relevant to the country’s safeguards framework </w:t>
      </w:r>
    </w:p>
    <w:p w14:paraId="2876C71F" w14:textId="77777777" w:rsidR="00AB1AC1" w:rsidRDefault="00AB1AC1" w:rsidP="0039326F">
      <w:pPr>
        <w:pStyle w:val="ListParagraph"/>
        <w:numPr>
          <w:ilvl w:val="0"/>
          <w:numId w:val="11"/>
        </w:numPr>
      </w:pPr>
      <w:r w:rsidRPr="00AB1AC1">
        <w:t xml:space="preserve">Description of the institutional framework: institutions and institutional arrangements relevant to the country’s safeguards framework </w:t>
      </w:r>
    </w:p>
    <w:p w14:paraId="618AEC21" w14:textId="58F44CDF" w:rsidR="002334FB" w:rsidRDefault="00AB1AC1" w:rsidP="0039326F">
      <w:pPr>
        <w:pStyle w:val="ListParagraph"/>
        <w:numPr>
          <w:ilvl w:val="0"/>
          <w:numId w:val="11"/>
        </w:numPr>
      </w:pPr>
      <w:r w:rsidRPr="00AB1AC1">
        <w:t>Description of the information systems</w:t>
      </w:r>
      <w:r w:rsidR="002334FB">
        <w:rPr>
          <w:rStyle w:val="FootnoteReference"/>
        </w:rPr>
        <w:footnoteReference w:id="94"/>
      </w:r>
      <w:r>
        <w:t xml:space="preserve"> (provided in </w:t>
      </w:r>
      <w:r w:rsidR="00202BB3">
        <w:t xml:space="preserve">SIS </w:t>
      </w:r>
      <w:r>
        <w:t>separate section</w:t>
      </w:r>
      <w:r w:rsidR="00C21E92">
        <w:t>, below</w:t>
      </w:r>
      <w:r>
        <w:t>)</w:t>
      </w:r>
      <w:r w:rsidR="002334FB" w:rsidRPr="002334FB">
        <w:t>.</w:t>
      </w:r>
    </w:p>
    <w:p w14:paraId="75434AE8" w14:textId="319DAD3A" w:rsidR="009625CE" w:rsidRDefault="009625CE" w:rsidP="0039326F">
      <w:pPr>
        <w:pStyle w:val="ListParagraph"/>
        <w:numPr>
          <w:ilvl w:val="0"/>
          <w:numId w:val="11"/>
        </w:numPr>
      </w:pPr>
      <w:commentRangeStart w:id="14"/>
      <w:r>
        <w:t>Description of how REDD+ related conflicts will be dealt with</w:t>
      </w:r>
      <w:commentRangeEnd w:id="14"/>
      <w:r w:rsidR="00037A2F">
        <w:rPr>
          <w:rStyle w:val="CommentReference"/>
        </w:rPr>
        <w:commentReference w:id="14"/>
      </w:r>
    </w:p>
    <w:p w14:paraId="0170AA94" w14:textId="5A4CA1E4" w:rsidR="00513E9F" w:rsidRDefault="00513E9F" w:rsidP="002334FB"/>
    <w:p w14:paraId="48EB9586" w14:textId="4D2F1814" w:rsidR="00513E9F" w:rsidRDefault="00513E9F">
      <w:r>
        <w:t xml:space="preserve">Information on “addressing” the Cancun safeguards entails a description of relevant governance arrangements, as outlined above. </w:t>
      </w:r>
      <w:r w:rsidR="000E1A02">
        <w:t xml:space="preserve">Herein, </w:t>
      </w:r>
      <w:r>
        <w:t xml:space="preserve">such arrangements are mapped to each of the seven Cancun safeguards. </w:t>
      </w:r>
    </w:p>
    <w:p w14:paraId="1152E3A1" w14:textId="33F35647" w:rsidR="0096518E" w:rsidRDefault="0096518E" w:rsidP="00513E9F"/>
    <w:p w14:paraId="6D6959DB" w14:textId="427C9EFA" w:rsidR="0096518E" w:rsidRDefault="00E65E43" w:rsidP="0096518E">
      <w:r>
        <w:t>An</w:t>
      </w:r>
      <w:r w:rsidR="0096518E">
        <w:t xml:space="preserve"> assessment conducted as part of the ERPD found that the legal framework in Ghana already protects and regulates many of the rights and objectives enshrined in the Cancun Safeguards.  Overall, the assessment of the PLRs indicates that Ghana’s legal framework is largely supportive of REDD+ actions, however, the results of the legal analysis and of the SESA clearly identify legislative and policy gaps which will require reforms</w:t>
      </w:r>
      <w:r>
        <w:rPr>
          <w:rStyle w:val="FootnoteReference"/>
        </w:rPr>
        <w:footnoteReference w:id="95"/>
      </w:r>
      <w:r w:rsidR="0096518E">
        <w:t xml:space="preserve">.  </w:t>
      </w:r>
    </w:p>
    <w:p w14:paraId="23D0668B" w14:textId="23A01FEE" w:rsidR="0096518E" w:rsidRDefault="0096518E" w:rsidP="0096518E">
      <w:r>
        <w:t xml:space="preserve"> </w:t>
      </w:r>
    </w:p>
    <w:p w14:paraId="2C8B1EF0" w14:textId="50F5C37A" w:rsidR="00E30F71" w:rsidRDefault="00E65E43" w:rsidP="0096518E">
      <w:r>
        <w:t>A</w:t>
      </w:r>
      <w:r w:rsidR="0096518E">
        <w:t xml:space="preserve"> full legal analysis</w:t>
      </w:r>
      <w:r>
        <w:t>, summ</w:t>
      </w:r>
      <w:r w:rsidR="00E30F71">
        <w:t>a</w:t>
      </w:r>
      <w:r>
        <w:t>rised below,</w:t>
      </w:r>
      <w:r w:rsidR="0096518E">
        <w:t xml:space="preserve"> outlines how the legal framework addresses each safeguard component</w:t>
      </w:r>
      <w:r w:rsidR="00E30F71">
        <w:t>.</w:t>
      </w:r>
    </w:p>
    <w:p w14:paraId="76F90BA4" w14:textId="4B407EC6" w:rsidR="0096518E" w:rsidRDefault="0096518E" w:rsidP="0096518E"/>
    <w:p w14:paraId="7FAD0318" w14:textId="1246D77D" w:rsidR="0096518E" w:rsidRDefault="0096518E" w:rsidP="0096518E">
      <w:r>
        <w:t>I</w:t>
      </w:r>
      <w:r w:rsidRPr="00513E9F">
        <w:t xml:space="preserve">nformation on how the safeguards are being addressed </w:t>
      </w:r>
      <w:r>
        <w:t>is</w:t>
      </w:r>
      <w:r w:rsidRPr="00513E9F">
        <w:t xml:space="preserve"> expected to be relatively constant from one summary to the next, tha</w:t>
      </w:r>
      <w:r w:rsidR="00E30F71">
        <w:t>t</w:t>
      </w:r>
      <w:r w:rsidRPr="00513E9F">
        <w:t xml:space="preserve"> is, a country’s governance arrangements are likely to change at a rate slower than the frequency of summary submissions. Passing of new safeguard-relevant policies, laws, and regulations, together with any significant modifications of institutional arrangements, information systems, or any other relevant governance components of a country, </w:t>
      </w:r>
      <w:r>
        <w:t>will</w:t>
      </w:r>
      <w:r w:rsidRPr="00513E9F">
        <w:t xml:space="preserve"> be updated and reflected in subsequent summaries.</w:t>
      </w:r>
    </w:p>
    <w:p w14:paraId="044C56DD" w14:textId="77777777" w:rsidR="0096518E" w:rsidRPr="002334FB" w:rsidRDefault="0096518E" w:rsidP="0096518E"/>
    <w:p w14:paraId="424147DF" w14:textId="61CC9DA4" w:rsidR="008F66A4" w:rsidRDefault="008F66A4" w:rsidP="007162F7"/>
    <w:p w14:paraId="4C885CFC" w14:textId="42C582D8" w:rsidR="004D539A" w:rsidRDefault="002B279A" w:rsidP="0039326F">
      <w:pPr>
        <w:pStyle w:val="Heading2"/>
        <w:numPr>
          <w:ilvl w:val="0"/>
          <w:numId w:val="12"/>
        </w:numPr>
      </w:pPr>
      <w:bookmarkStart w:id="16" w:name="_Toc523385935"/>
      <w:r>
        <w:lastRenderedPageBreak/>
        <w:t>Description of the relevant PLRs for each safeguard component/element</w:t>
      </w:r>
      <w:bookmarkEnd w:id="16"/>
    </w:p>
    <w:p w14:paraId="660E150A" w14:textId="2C8C9FBA" w:rsidR="004D539A" w:rsidRPr="00CD0B8A" w:rsidRDefault="004D539A" w:rsidP="009625CE">
      <w:r>
        <w:t xml:space="preserve">This section is divided in accordance with the </w:t>
      </w:r>
      <w:r w:rsidR="00E30F71">
        <w:t xml:space="preserve">seven Cancun </w:t>
      </w:r>
      <w:r>
        <w:t>safeguards. Each section contain</w:t>
      </w:r>
      <w:r w:rsidR="009625CE">
        <w:t>s</w:t>
      </w:r>
      <w:r>
        <w:t xml:space="preserve"> a short description </w:t>
      </w:r>
      <w:r w:rsidR="008B3995">
        <w:t xml:space="preserve">in accordance with </w:t>
      </w:r>
      <w:r w:rsidR="00E30F71">
        <w:t>relevant</w:t>
      </w:r>
      <w:r w:rsidR="00814565">
        <w:t xml:space="preserve"> PLRs</w:t>
      </w:r>
      <w:r w:rsidR="00187861">
        <w:t>, followed by a list of the relevant PLRs.</w:t>
      </w:r>
    </w:p>
    <w:p w14:paraId="2A359476" w14:textId="77777777" w:rsidR="00D75BE8" w:rsidRPr="00D75BE8" w:rsidRDefault="00D75BE8" w:rsidP="00D75BE8">
      <w:pPr>
        <w:rPr>
          <w:rFonts w:ascii="Calibri" w:eastAsia="Calibri" w:hAnsi="Calibri" w:cs="Arial"/>
        </w:rPr>
      </w:pPr>
    </w:p>
    <w:p w14:paraId="648D4C1B" w14:textId="77777777" w:rsidR="00D75BE8" w:rsidRPr="00D75BE8" w:rsidRDefault="00D75BE8" w:rsidP="00D75BE8">
      <w:pPr>
        <w:jc w:val="center"/>
        <w:rPr>
          <w:rFonts w:ascii="Candara" w:eastAsia="Times New Roman" w:hAnsi="Candara" w:cs="Times New Roman"/>
          <w:b/>
          <w:i/>
          <w:sz w:val="20"/>
          <w:szCs w:val="20"/>
        </w:rPr>
      </w:pPr>
      <w:r w:rsidRPr="00D75BE8">
        <w:rPr>
          <w:rFonts w:ascii="Candara" w:eastAsia="Times New Roman" w:hAnsi="Candara" w:cs="Times New Roman"/>
          <w:b/>
          <w:i/>
          <w:sz w:val="20"/>
          <w:szCs w:val="20"/>
        </w:rPr>
        <w:t>UNFCCC REDD+ safeguard (A):</w:t>
      </w:r>
    </w:p>
    <w:p w14:paraId="1BAD8E77" w14:textId="77777777" w:rsidR="00D75BE8" w:rsidRPr="00D75BE8" w:rsidRDefault="00D75BE8" w:rsidP="00D75BE8">
      <w:pPr>
        <w:jc w:val="center"/>
        <w:rPr>
          <w:rFonts w:ascii="Candara" w:eastAsia="Times New Roman" w:hAnsi="Candara" w:cs="Times New Roman"/>
          <w:b/>
          <w:i/>
          <w:sz w:val="20"/>
          <w:szCs w:val="20"/>
        </w:rPr>
      </w:pPr>
      <w:r w:rsidRPr="00D75BE8">
        <w:rPr>
          <w:rFonts w:ascii="Candara" w:eastAsia="Times New Roman" w:hAnsi="Candara" w:cs="Times New Roman"/>
          <w:b/>
          <w:i/>
          <w:sz w:val="20"/>
          <w:szCs w:val="20"/>
        </w:rPr>
        <w:t>“That action complements or is consistent with the objectives of national forest programmes and relevant international conventions and agreements;”</w:t>
      </w:r>
    </w:p>
    <w:p w14:paraId="6C3F18DC" w14:textId="77777777" w:rsidR="00D75BE8" w:rsidRPr="00D75BE8" w:rsidRDefault="00D75BE8" w:rsidP="00D75BE8">
      <w:pPr>
        <w:jc w:val="center"/>
        <w:rPr>
          <w:rFonts w:ascii="Calibri" w:eastAsia="Calibri" w:hAnsi="Calibri" w:cs="Arial"/>
        </w:rPr>
      </w:pPr>
    </w:p>
    <w:p w14:paraId="4BA9A183" w14:textId="77777777" w:rsidR="00D75BE8" w:rsidRPr="00D75BE8" w:rsidRDefault="00D75BE8" w:rsidP="00C21316">
      <w:pPr>
        <w:rPr>
          <w:rFonts w:ascii="Calibri" w:eastAsia="Calibri" w:hAnsi="Calibri" w:cs="Arial"/>
        </w:rPr>
      </w:pPr>
      <w:r w:rsidRPr="00D75BE8">
        <w:rPr>
          <w:rFonts w:ascii="Calibri" w:eastAsia="Calibri" w:hAnsi="Calibri" w:cs="Arial"/>
        </w:rPr>
        <w:t xml:space="preserve">The first safeguard is dual facing with one intention: coherence. All actions must be consistent with, or cohere to, national forest programs, in order to maintain administrative coherence as well as general rule of law, while on the other hand importing and streamlining global governance by insisting on the same with international treaties. </w:t>
      </w:r>
    </w:p>
    <w:p w14:paraId="45A60684" w14:textId="77777777" w:rsidR="00D75BE8" w:rsidRPr="00D75BE8" w:rsidRDefault="00D75BE8" w:rsidP="00D75BE8">
      <w:pPr>
        <w:jc w:val="left"/>
        <w:rPr>
          <w:rFonts w:ascii="Calibri" w:eastAsia="Calibri" w:hAnsi="Calibri" w:cs="Arial"/>
        </w:rPr>
      </w:pPr>
    </w:p>
    <w:p w14:paraId="0D54CD53" w14:textId="3A6A1679" w:rsidR="00D75BE8" w:rsidRPr="00D75BE8" w:rsidRDefault="00D75BE8" w:rsidP="00C21316">
      <w:pPr>
        <w:spacing w:after="160" w:line="259" w:lineRule="auto"/>
        <w:rPr>
          <w:rFonts w:ascii="Calibri" w:eastAsia="Calibri" w:hAnsi="Calibri" w:cs="Arial"/>
          <w:szCs w:val="22"/>
        </w:rPr>
      </w:pPr>
      <w:r w:rsidRPr="00D75BE8">
        <w:rPr>
          <w:rFonts w:ascii="Calibri" w:eastAsia="Calibri" w:hAnsi="Calibri" w:cs="Arial"/>
        </w:rPr>
        <w:t xml:space="preserve">While </w:t>
      </w:r>
      <w:r w:rsidRPr="00D75BE8">
        <w:rPr>
          <w:rFonts w:ascii="Calibri" w:eastAsia="Calibri" w:hAnsi="Calibri" w:cs="Arial"/>
          <w:szCs w:val="22"/>
        </w:rPr>
        <w:t xml:space="preserve">there is no single document that can be defined as a “national forest programme” in Ghana, however, the Forest and Wildlife Policy (FWP) (2012) is considered to serve as an overarching national forest programme, with the Forestry Development Master Plan (FDMP) 2016-2036 serving as a guiding policy for the sector. Another highly relevant policy document is the Ghana forest plantation strategy 2016-2040. These are kept coherent through a clear chain of legal authority and obligation from the constitution, which created the </w:t>
      </w:r>
      <w:r w:rsidR="002752EB">
        <w:rPr>
          <w:rFonts w:ascii="Calibri" w:eastAsia="Calibri" w:hAnsi="Calibri" w:cs="Arial"/>
          <w:szCs w:val="22"/>
        </w:rPr>
        <w:t>F</w:t>
      </w:r>
      <w:r w:rsidRPr="00D75BE8">
        <w:rPr>
          <w:rFonts w:ascii="Calibri" w:eastAsia="Calibri" w:hAnsi="Calibri" w:cs="Arial"/>
          <w:szCs w:val="22"/>
        </w:rPr>
        <w:t xml:space="preserve">orestry </w:t>
      </w:r>
      <w:r w:rsidR="002752EB">
        <w:rPr>
          <w:rFonts w:ascii="Calibri" w:eastAsia="Calibri" w:hAnsi="Calibri" w:cs="Arial"/>
          <w:szCs w:val="22"/>
        </w:rPr>
        <w:t>C</w:t>
      </w:r>
      <w:r w:rsidRPr="00D75BE8">
        <w:rPr>
          <w:rFonts w:ascii="Calibri" w:eastAsia="Calibri" w:hAnsi="Calibri" w:cs="Arial"/>
          <w:szCs w:val="22"/>
        </w:rPr>
        <w:t xml:space="preserve">ommission, to the duties of that body and the policies it creates in direct accordance with these duties. This is further shored up through a general duty to conserve, both privately, and as organs of the state, forests and natural environments in accordance with policies and laws in place. </w:t>
      </w:r>
    </w:p>
    <w:p w14:paraId="36A68BE0" w14:textId="788A0012" w:rsidR="00D75BE8" w:rsidRPr="00D75BE8" w:rsidRDefault="00D75BE8" w:rsidP="00C21316">
      <w:pPr>
        <w:spacing w:after="160" w:line="259" w:lineRule="auto"/>
        <w:rPr>
          <w:rFonts w:ascii="Calibri" w:eastAsia="Calibri" w:hAnsi="Calibri" w:cs="Arial"/>
        </w:rPr>
      </w:pPr>
      <w:r w:rsidRPr="00D75BE8">
        <w:rPr>
          <w:rFonts w:ascii="Calibri" w:eastAsia="Calibri" w:hAnsi="Calibri" w:cs="Arial"/>
          <w:szCs w:val="22"/>
        </w:rPr>
        <w:t xml:space="preserve">On the international aspect, Ghana is Party to at </w:t>
      </w:r>
      <w:r w:rsidRPr="00187861">
        <w:rPr>
          <w:rFonts w:ascii="Calibri" w:eastAsia="Calibri" w:hAnsi="Calibri" w:cs="Arial"/>
          <w:szCs w:val="22"/>
        </w:rPr>
        <w:t xml:space="preserve">least </w:t>
      </w:r>
      <w:r w:rsidRPr="00C21316">
        <w:rPr>
          <w:rFonts w:ascii="Calibri" w:eastAsia="Calibri" w:hAnsi="Calibri" w:cs="Arial"/>
          <w:szCs w:val="22"/>
        </w:rPr>
        <w:t>14</w:t>
      </w:r>
      <w:r w:rsidRPr="00187861">
        <w:rPr>
          <w:rFonts w:ascii="Calibri" w:eastAsia="Calibri" w:hAnsi="Calibri" w:cs="Arial"/>
          <w:szCs w:val="22"/>
        </w:rPr>
        <w:t xml:space="preserve"> international</w:t>
      </w:r>
      <w:r w:rsidRPr="00D75BE8">
        <w:rPr>
          <w:rFonts w:ascii="Calibri" w:eastAsia="Calibri" w:hAnsi="Calibri" w:cs="Arial"/>
          <w:szCs w:val="22"/>
        </w:rPr>
        <w:t xml:space="preserve"> legal treaties or conventions, which are relevant and applicable to the </w:t>
      </w:r>
      <w:r w:rsidR="002752EB">
        <w:rPr>
          <w:rFonts w:ascii="Calibri" w:eastAsia="Calibri" w:hAnsi="Calibri" w:cs="Arial"/>
          <w:szCs w:val="22"/>
        </w:rPr>
        <w:t xml:space="preserve">REDD+ </w:t>
      </w:r>
      <w:r w:rsidRPr="00D75BE8">
        <w:rPr>
          <w:rFonts w:ascii="Calibri" w:eastAsia="Calibri" w:hAnsi="Calibri" w:cs="Arial"/>
          <w:szCs w:val="22"/>
        </w:rPr>
        <w:t>safeguards. International Law is incorporated into the domestic legal system by Parliamentary ratification through an Act of Parliament or by a resolution of Parliament</w:t>
      </w:r>
      <w:r w:rsidRPr="00D75BE8">
        <w:rPr>
          <w:rFonts w:ascii="Calibri" w:eastAsia="Calibri" w:hAnsi="Calibri" w:cs="Arial"/>
          <w:szCs w:val="22"/>
          <w:vertAlign w:val="superscript"/>
        </w:rPr>
        <w:footnoteReference w:id="96"/>
      </w:r>
      <w:r w:rsidRPr="00D75BE8">
        <w:rPr>
          <w:rFonts w:ascii="Calibri" w:eastAsia="Calibri" w:hAnsi="Calibri" w:cs="Arial"/>
          <w:szCs w:val="22"/>
        </w:rPr>
        <w:t xml:space="preserve"> The ratification by Parliament through an Act of Parliament or a resolution of Parliament supported by more than half of votes of all members of Parliament is required before the treaty can become part of the national legal framework. All ratified/domesticated international treaties are placed on the same level as Acts of Parliament</w:t>
      </w:r>
      <w:r w:rsidRPr="00D75BE8">
        <w:rPr>
          <w:rFonts w:ascii="Calibri" w:eastAsia="Calibri" w:hAnsi="Calibri" w:cs="Arial"/>
          <w:szCs w:val="22"/>
          <w:vertAlign w:val="superscript"/>
        </w:rPr>
        <w:footnoteReference w:id="97"/>
      </w:r>
      <w:r w:rsidRPr="00D75BE8">
        <w:rPr>
          <w:rFonts w:ascii="Calibri" w:eastAsia="Calibri" w:hAnsi="Calibri" w:cs="Arial"/>
          <w:szCs w:val="22"/>
        </w:rPr>
        <w:t>.</w:t>
      </w:r>
    </w:p>
    <w:tbl>
      <w:tblPr>
        <w:tblpPr w:leftFromText="180" w:rightFromText="180" w:vertAnchor="text" w:horzAnchor="margin" w:tblpY="1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187861" w:rsidRPr="00D75BE8" w14:paraId="3CBA7DF9" w14:textId="77777777" w:rsidTr="00C21316">
        <w:trPr>
          <w:trHeight w:val="364"/>
        </w:trPr>
        <w:tc>
          <w:tcPr>
            <w:tcW w:w="5000" w:type="pct"/>
            <w:shd w:val="clear" w:color="auto" w:fill="AA97E4"/>
          </w:tcPr>
          <w:p w14:paraId="6F44C806" w14:textId="77777777" w:rsidR="00187861" w:rsidRPr="00D75BE8" w:rsidRDefault="00187861" w:rsidP="00D75BE8">
            <w:pPr>
              <w:rPr>
                <w:rFonts w:ascii="Candara" w:eastAsia="Calibri" w:hAnsi="Candara" w:cs="Arial"/>
                <w:color w:val="FFFFFF"/>
                <w:sz w:val="20"/>
                <w:szCs w:val="20"/>
              </w:rPr>
            </w:pPr>
            <w:r w:rsidRPr="00D75BE8">
              <w:rPr>
                <w:rFonts w:ascii="Candara" w:eastAsia="Calibri" w:hAnsi="Candara" w:cs="Arial"/>
                <w:color w:val="FFFFFF"/>
                <w:sz w:val="20"/>
                <w:szCs w:val="20"/>
              </w:rPr>
              <w:t>List of relevant Policies, Laws and Regulation</w:t>
            </w:r>
          </w:p>
        </w:tc>
      </w:tr>
      <w:tr w:rsidR="00187861" w:rsidRPr="00D75BE8" w14:paraId="2F9D3874" w14:textId="77777777" w:rsidTr="00C21316">
        <w:trPr>
          <w:trHeight w:val="1178"/>
        </w:trPr>
        <w:tc>
          <w:tcPr>
            <w:tcW w:w="5000" w:type="pct"/>
          </w:tcPr>
          <w:p w14:paraId="0E1A6A69" w14:textId="77777777" w:rsidR="00187861" w:rsidRPr="00C21316" w:rsidRDefault="00187861" w:rsidP="00C21316">
            <w:pPr>
              <w:pStyle w:val="ListParagraph"/>
              <w:rPr>
                <w:rFonts w:ascii="Candara" w:eastAsia="Calibri" w:hAnsi="Candara" w:cs="Arial"/>
                <w:b/>
                <w:sz w:val="20"/>
                <w:szCs w:val="20"/>
              </w:rPr>
            </w:pPr>
          </w:p>
          <w:p w14:paraId="2670FE49" w14:textId="77777777" w:rsidR="00187861" w:rsidRPr="00C21316" w:rsidRDefault="00187861" w:rsidP="0039326F">
            <w:pPr>
              <w:numPr>
                <w:ilvl w:val="0"/>
                <w:numId w:val="19"/>
              </w:numPr>
              <w:ind w:left="714" w:hanging="357"/>
              <w:contextualSpacing/>
              <w:jc w:val="left"/>
              <w:rPr>
                <w:rFonts w:ascii="Calibri" w:eastAsia="Calibri" w:hAnsi="Calibri" w:cs="Arial"/>
                <w:sz w:val="20"/>
                <w:szCs w:val="20"/>
                <w:lang w:bidi="he-IL"/>
              </w:rPr>
            </w:pPr>
            <w:r w:rsidRPr="00C21316">
              <w:rPr>
                <w:rFonts w:ascii="Calibri" w:eastAsia="Calibri" w:hAnsi="Calibri" w:cs="Arial"/>
                <w:sz w:val="20"/>
                <w:szCs w:val="20"/>
                <w:lang w:bidi="he-IL"/>
              </w:rPr>
              <w:t>The Constitution 1992</w:t>
            </w:r>
          </w:p>
          <w:p w14:paraId="57D7FC94" w14:textId="77777777" w:rsidR="00187861" w:rsidRPr="00C21316" w:rsidRDefault="00187861" w:rsidP="0039326F">
            <w:pPr>
              <w:numPr>
                <w:ilvl w:val="0"/>
                <w:numId w:val="19"/>
              </w:numPr>
              <w:ind w:left="714" w:hanging="357"/>
              <w:contextualSpacing/>
              <w:jc w:val="left"/>
              <w:rPr>
                <w:rFonts w:ascii="Calibri" w:eastAsia="Calibri" w:hAnsi="Calibri" w:cs="Arial"/>
                <w:sz w:val="20"/>
                <w:szCs w:val="20"/>
                <w:lang w:bidi="he-IL"/>
              </w:rPr>
            </w:pPr>
            <w:r w:rsidRPr="00C21316">
              <w:rPr>
                <w:rFonts w:ascii="Calibri" w:eastAsia="Calibri" w:hAnsi="Calibri" w:cs="Arial"/>
                <w:sz w:val="20"/>
                <w:szCs w:val="20"/>
                <w:lang w:bidi="he-IL"/>
              </w:rPr>
              <w:t xml:space="preserve">Forest and Wildlife Policy (FWP) (2012), </w:t>
            </w:r>
          </w:p>
          <w:p w14:paraId="14018D3D" w14:textId="77777777" w:rsidR="00187861" w:rsidRPr="00C21316" w:rsidRDefault="00187861" w:rsidP="0039326F">
            <w:pPr>
              <w:numPr>
                <w:ilvl w:val="0"/>
                <w:numId w:val="19"/>
              </w:numPr>
              <w:ind w:left="714" w:hanging="357"/>
              <w:contextualSpacing/>
              <w:jc w:val="left"/>
              <w:rPr>
                <w:rFonts w:ascii="Calibri" w:eastAsia="Calibri" w:hAnsi="Calibri" w:cs="Arial"/>
                <w:sz w:val="20"/>
                <w:szCs w:val="20"/>
                <w:lang w:val="en-US" w:bidi="he-IL"/>
              </w:rPr>
            </w:pPr>
            <w:r w:rsidRPr="00C21316">
              <w:rPr>
                <w:rFonts w:ascii="Calibri" w:eastAsia="Calibri" w:hAnsi="Calibri" w:cs="Arial"/>
                <w:sz w:val="20"/>
                <w:szCs w:val="20"/>
                <w:lang w:bidi="he-IL"/>
              </w:rPr>
              <w:t xml:space="preserve">Forestry Development Master Plan (FDMP) 2016-2036 </w:t>
            </w:r>
          </w:p>
          <w:p w14:paraId="1A941DFA" w14:textId="77777777" w:rsidR="00187861" w:rsidRPr="00C21316" w:rsidRDefault="00187861" w:rsidP="0039326F">
            <w:pPr>
              <w:numPr>
                <w:ilvl w:val="0"/>
                <w:numId w:val="19"/>
              </w:numPr>
              <w:ind w:left="714" w:hanging="357"/>
              <w:contextualSpacing/>
              <w:jc w:val="left"/>
              <w:rPr>
                <w:rFonts w:ascii="Calibri" w:eastAsia="Calibri" w:hAnsi="Calibri" w:cs="Arial"/>
                <w:sz w:val="20"/>
                <w:szCs w:val="20"/>
                <w:lang w:val="en-US" w:bidi="he-IL"/>
              </w:rPr>
            </w:pPr>
            <w:r w:rsidRPr="00C21316">
              <w:rPr>
                <w:rFonts w:ascii="Calibri" w:eastAsia="Calibri" w:hAnsi="Calibri" w:cs="Arial"/>
                <w:sz w:val="20"/>
                <w:szCs w:val="20"/>
                <w:lang w:bidi="he-IL"/>
              </w:rPr>
              <w:t>Ghana forest plantation strategy 2016-2040</w:t>
            </w:r>
          </w:p>
          <w:p w14:paraId="3F4EB7DE" w14:textId="77777777" w:rsidR="00187861" w:rsidRPr="00C21316" w:rsidRDefault="00187861" w:rsidP="0039326F">
            <w:pPr>
              <w:numPr>
                <w:ilvl w:val="0"/>
                <w:numId w:val="19"/>
              </w:numPr>
              <w:ind w:left="714" w:hanging="357"/>
              <w:contextualSpacing/>
              <w:jc w:val="left"/>
              <w:rPr>
                <w:rFonts w:ascii="Calibri" w:eastAsia="Calibri" w:hAnsi="Calibri" w:cs="Arial"/>
                <w:sz w:val="20"/>
                <w:szCs w:val="20"/>
                <w:lang w:val="en-US" w:bidi="he-IL"/>
              </w:rPr>
            </w:pPr>
            <w:r w:rsidRPr="00C21316">
              <w:rPr>
                <w:rFonts w:ascii="Calibri" w:eastAsia="Calibri" w:hAnsi="Calibri" w:cs="Times"/>
                <w:bCs/>
                <w:sz w:val="20"/>
                <w:szCs w:val="20"/>
                <w:lang w:bidi="he-IL"/>
              </w:rPr>
              <w:t xml:space="preserve">Forestry Commission Act of 1999 (Act 571) </w:t>
            </w:r>
          </w:p>
          <w:p w14:paraId="49F09464" w14:textId="77777777" w:rsidR="00187861" w:rsidRPr="00C21316" w:rsidRDefault="00187861" w:rsidP="0039326F">
            <w:pPr>
              <w:numPr>
                <w:ilvl w:val="0"/>
                <w:numId w:val="19"/>
              </w:numPr>
              <w:ind w:left="714" w:hanging="357"/>
              <w:contextualSpacing/>
              <w:jc w:val="left"/>
              <w:rPr>
                <w:rFonts w:ascii="Calibri" w:eastAsia="Calibri" w:hAnsi="Calibri" w:cs="Arial"/>
                <w:sz w:val="20"/>
                <w:szCs w:val="20"/>
                <w:lang w:val="en-US" w:bidi="he-IL"/>
              </w:rPr>
            </w:pPr>
            <w:r w:rsidRPr="00C21316">
              <w:rPr>
                <w:rFonts w:ascii="Calibri" w:eastAsia="Calibri" w:hAnsi="Calibri" w:cs="Times"/>
                <w:bCs/>
                <w:sz w:val="20"/>
                <w:szCs w:val="20"/>
                <w:lang w:bidi="he-IL"/>
              </w:rPr>
              <w:t>Ghana National Climate Change Policy (2013)</w:t>
            </w:r>
          </w:p>
          <w:p w14:paraId="2D79AAE1" w14:textId="77777777" w:rsidR="00187861" w:rsidRPr="00D75BE8" w:rsidRDefault="00187861" w:rsidP="00D75BE8">
            <w:pPr>
              <w:rPr>
                <w:rFonts w:ascii="Candara" w:eastAsia="Calibri" w:hAnsi="Candara" w:cs="Arial"/>
                <w:b/>
                <w:sz w:val="20"/>
                <w:szCs w:val="20"/>
                <w:lang w:val="en-US"/>
              </w:rPr>
            </w:pPr>
          </w:p>
        </w:tc>
      </w:tr>
    </w:tbl>
    <w:p w14:paraId="3D8B9541" w14:textId="77777777" w:rsidR="00D75BE8" w:rsidRPr="00D75BE8" w:rsidRDefault="00D75BE8" w:rsidP="00D75BE8">
      <w:pPr>
        <w:jc w:val="left"/>
        <w:rPr>
          <w:rFonts w:ascii="Calibri" w:eastAsia="Calibri" w:hAnsi="Calibri" w:cs="Arial"/>
        </w:rPr>
      </w:pPr>
    </w:p>
    <w:p w14:paraId="2EE9B3A9" w14:textId="77777777" w:rsidR="00D75BE8" w:rsidRPr="00D75BE8" w:rsidRDefault="00D75BE8" w:rsidP="00D75BE8">
      <w:pPr>
        <w:jc w:val="left"/>
        <w:rPr>
          <w:rFonts w:ascii="Calibri" w:eastAsia="Calibri" w:hAnsi="Calibri" w:cs="Arial"/>
        </w:rPr>
      </w:pPr>
    </w:p>
    <w:p w14:paraId="569E1417" w14:textId="77777777" w:rsidR="00D75BE8" w:rsidRPr="00D75BE8" w:rsidRDefault="00D75BE8" w:rsidP="00D75BE8">
      <w:pPr>
        <w:jc w:val="left"/>
        <w:rPr>
          <w:rFonts w:ascii="Calibri" w:eastAsia="Calibri" w:hAnsi="Calibri" w:cs="Arial"/>
        </w:rPr>
      </w:pPr>
    </w:p>
    <w:p w14:paraId="09758AF4" w14:textId="77777777" w:rsidR="00D75BE8" w:rsidRPr="00D75BE8" w:rsidRDefault="00D75BE8" w:rsidP="00D75BE8">
      <w:pPr>
        <w:jc w:val="left"/>
        <w:rPr>
          <w:rFonts w:ascii="Calibri" w:eastAsia="Calibri" w:hAnsi="Calibri" w:cs="Arial"/>
        </w:rPr>
      </w:pPr>
    </w:p>
    <w:p w14:paraId="7391C294" w14:textId="77777777" w:rsidR="00D75BE8" w:rsidRPr="00D75BE8" w:rsidRDefault="00D75BE8" w:rsidP="00D75BE8">
      <w:pPr>
        <w:jc w:val="center"/>
        <w:rPr>
          <w:rFonts w:ascii="Candara" w:eastAsia="MS Gothic" w:hAnsi="Candara" w:cs="Times New Roman"/>
          <w:b/>
          <w:i/>
          <w:sz w:val="20"/>
          <w:szCs w:val="20"/>
        </w:rPr>
      </w:pPr>
    </w:p>
    <w:p w14:paraId="39E29F47" w14:textId="77777777" w:rsidR="00D75BE8" w:rsidRPr="00D75BE8" w:rsidRDefault="00D75BE8" w:rsidP="00D75BE8">
      <w:pPr>
        <w:jc w:val="center"/>
        <w:rPr>
          <w:rFonts w:ascii="Candara" w:eastAsia="MS Gothic" w:hAnsi="Candara" w:cs="Times New Roman"/>
          <w:b/>
          <w:i/>
          <w:sz w:val="20"/>
          <w:szCs w:val="20"/>
        </w:rPr>
      </w:pPr>
      <w:r w:rsidRPr="00D75BE8">
        <w:rPr>
          <w:rFonts w:ascii="Candara" w:eastAsia="MS Gothic" w:hAnsi="Candara" w:cs="Times New Roman"/>
          <w:b/>
          <w:i/>
          <w:sz w:val="20"/>
          <w:szCs w:val="20"/>
        </w:rPr>
        <w:t>UNFCCC REDD+ safeguard (B):</w:t>
      </w:r>
    </w:p>
    <w:p w14:paraId="460535D8" w14:textId="77777777" w:rsidR="00D75BE8" w:rsidRPr="00D75BE8" w:rsidRDefault="00D75BE8" w:rsidP="00D75BE8">
      <w:pPr>
        <w:spacing w:after="240"/>
        <w:jc w:val="center"/>
        <w:rPr>
          <w:rFonts w:ascii="Candara" w:eastAsia="MS Gothic" w:hAnsi="Candara" w:cs="Helvetica"/>
          <w:b/>
          <w:i/>
          <w:color w:val="000000"/>
          <w:sz w:val="20"/>
          <w:szCs w:val="20"/>
          <w:lang w:val="en-CA"/>
        </w:rPr>
      </w:pPr>
      <w:r w:rsidRPr="00D75BE8">
        <w:rPr>
          <w:rFonts w:ascii="Candara" w:eastAsia="MS Gothic" w:hAnsi="Candara" w:cs="Times New Roman"/>
          <w:b/>
          <w:i/>
          <w:color w:val="000000"/>
          <w:sz w:val="20"/>
          <w:szCs w:val="20"/>
        </w:rPr>
        <w:lastRenderedPageBreak/>
        <w:t>“</w:t>
      </w:r>
      <w:r w:rsidRPr="00D75BE8">
        <w:rPr>
          <w:rFonts w:ascii="Candara" w:eastAsia="MS Gothic" w:hAnsi="Candara" w:cs="Helvetica"/>
          <w:b/>
          <w:i/>
          <w:color w:val="000000"/>
          <w:sz w:val="20"/>
          <w:szCs w:val="20"/>
          <w:lang w:val="en-CA"/>
        </w:rPr>
        <w:t>Transparent and effective national forest governance structures, taking into account national legislation and sovereignty;”</w:t>
      </w:r>
    </w:p>
    <w:p w14:paraId="43DCFFCE" w14:textId="0C0810D4" w:rsidR="00D75BE8" w:rsidRPr="00D75BE8" w:rsidRDefault="00D75BE8" w:rsidP="00C21316">
      <w:pPr>
        <w:spacing w:after="240"/>
        <w:rPr>
          <w:rFonts w:ascii="Calibri" w:eastAsia="MS Gothic" w:hAnsi="Calibri" w:cs="Calibri"/>
          <w:bCs/>
          <w:iCs/>
          <w:color w:val="000000"/>
          <w:szCs w:val="22"/>
          <w:lang w:bidi="he-IL"/>
        </w:rPr>
      </w:pPr>
      <w:r w:rsidRPr="00D75BE8">
        <w:rPr>
          <w:rFonts w:ascii="Calibri" w:eastAsia="MS Gothic" w:hAnsi="Calibri" w:cs="Calibri"/>
          <w:bCs/>
          <w:iCs/>
          <w:color w:val="000000"/>
          <w:szCs w:val="22"/>
          <w:lang w:bidi="he-IL"/>
        </w:rPr>
        <w:t>Ghana’s Constitution makes certain provisions for access to information, with the Administration of Lands Act and Environmental Assessment Regulations, providing for the dissemination of information on forestry events, issues and trend</w:t>
      </w:r>
      <w:r w:rsidR="00187861">
        <w:rPr>
          <w:rFonts w:ascii="Calibri" w:eastAsia="MS Gothic" w:hAnsi="Calibri" w:cs="Calibri"/>
          <w:bCs/>
          <w:iCs/>
          <w:color w:val="000000"/>
          <w:szCs w:val="22"/>
          <w:lang w:bidi="he-IL"/>
        </w:rPr>
        <w:t>s</w:t>
      </w:r>
      <w:r w:rsidRPr="00D75BE8">
        <w:rPr>
          <w:rFonts w:ascii="Calibri" w:eastAsia="MS Gothic" w:hAnsi="Calibri" w:cs="Calibri"/>
          <w:bCs/>
          <w:iCs/>
          <w:color w:val="000000"/>
          <w:szCs w:val="22"/>
          <w:lang w:bidi="he-IL"/>
        </w:rPr>
        <w:t xml:space="preserve">. Forest and Wildlife policy also places specific duty regarding update and availability of information on all relevant agencies. Constitutional bodies like the National Commission for Civic Education exist and are charged with educating the citizenry in all matters, whereas institutions or agencies for promoting public transparency are adequately provided for within the </w:t>
      </w:r>
      <w:r w:rsidR="00187861">
        <w:rPr>
          <w:rFonts w:ascii="Calibri" w:eastAsia="MS Gothic" w:hAnsi="Calibri" w:cs="Calibri"/>
          <w:bCs/>
          <w:iCs/>
          <w:color w:val="000000"/>
          <w:szCs w:val="22"/>
          <w:lang w:bidi="he-IL"/>
        </w:rPr>
        <w:t>l</w:t>
      </w:r>
      <w:r w:rsidRPr="00D75BE8">
        <w:rPr>
          <w:rFonts w:ascii="Calibri" w:eastAsia="MS Gothic" w:hAnsi="Calibri" w:cs="Calibri"/>
          <w:bCs/>
          <w:iCs/>
          <w:color w:val="000000"/>
          <w:szCs w:val="22"/>
          <w:lang w:bidi="he-IL"/>
        </w:rPr>
        <w:t xml:space="preserve">egal framework of Ghana, with </w:t>
      </w:r>
      <w:r w:rsidR="00187861">
        <w:rPr>
          <w:rFonts w:ascii="Calibri" w:eastAsia="MS Gothic" w:hAnsi="Calibri" w:cs="Calibri"/>
          <w:bCs/>
          <w:iCs/>
          <w:color w:val="000000"/>
          <w:szCs w:val="22"/>
          <w:lang w:val="en-US" w:bidi="he-IL"/>
        </w:rPr>
        <w:t>a</w:t>
      </w:r>
      <w:r w:rsidRPr="00D75BE8">
        <w:rPr>
          <w:rFonts w:ascii="Calibri" w:eastAsia="MS Gothic" w:hAnsi="Calibri" w:cs="Calibri"/>
          <w:bCs/>
          <w:iCs/>
          <w:color w:val="000000"/>
          <w:szCs w:val="22"/>
          <w:lang w:val="en-US" w:bidi="he-IL"/>
        </w:rPr>
        <w:t xml:space="preserve"> number of Acts of Parliaments providing clear measures for addressing corruption generally, with a few of them aimed specifically at the forest sector.</w:t>
      </w:r>
    </w:p>
    <w:p w14:paraId="104E5E13" w14:textId="683C3277" w:rsidR="00D75BE8" w:rsidRPr="00D75BE8" w:rsidRDefault="00D75BE8" w:rsidP="00C21316">
      <w:pPr>
        <w:spacing w:after="240"/>
        <w:rPr>
          <w:rFonts w:ascii="Calibri" w:eastAsia="MS Gothic" w:hAnsi="Calibri" w:cs="Calibri"/>
          <w:bCs/>
          <w:iCs/>
          <w:color w:val="000000"/>
          <w:szCs w:val="22"/>
          <w:lang w:bidi="he-IL"/>
        </w:rPr>
      </w:pPr>
      <w:r w:rsidRPr="00D75BE8">
        <w:rPr>
          <w:rFonts w:ascii="Calibri" w:eastAsia="MS Gothic" w:hAnsi="Calibri" w:cs="Calibri"/>
          <w:bCs/>
          <w:iCs/>
          <w:color w:val="000000"/>
          <w:szCs w:val="22"/>
          <w:lang w:bidi="he-IL"/>
        </w:rPr>
        <w:t xml:space="preserve">Regarding effective governance, the </w:t>
      </w:r>
      <w:r w:rsidR="00187861">
        <w:rPr>
          <w:rFonts w:ascii="Calibri" w:eastAsia="MS Gothic" w:hAnsi="Calibri" w:cs="Calibri"/>
          <w:bCs/>
          <w:iCs/>
          <w:color w:val="000000"/>
          <w:szCs w:val="22"/>
          <w:lang w:bidi="he-IL"/>
        </w:rPr>
        <w:t>l</w:t>
      </w:r>
      <w:r w:rsidRPr="00D75BE8">
        <w:rPr>
          <w:rFonts w:ascii="Calibri" w:eastAsia="MS Gothic" w:hAnsi="Calibri" w:cs="Calibri"/>
          <w:bCs/>
          <w:iCs/>
          <w:color w:val="000000"/>
          <w:szCs w:val="22"/>
          <w:lang w:bidi="he-IL"/>
        </w:rPr>
        <w:t xml:space="preserve">egal </w:t>
      </w:r>
      <w:r w:rsidR="00187861">
        <w:rPr>
          <w:rFonts w:ascii="Calibri" w:eastAsia="MS Gothic" w:hAnsi="Calibri" w:cs="Calibri"/>
          <w:bCs/>
          <w:iCs/>
          <w:color w:val="000000"/>
          <w:szCs w:val="22"/>
          <w:lang w:bidi="he-IL"/>
        </w:rPr>
        <w:t>f</w:t>
      </w:r>
      <w:r w:rsidRPr="00D75BE8">
        <w:rPr>
          <w:rFonts w:ascii="Calibri" w:eastAsia="MS Gothic" w:hAnsi="Calibri" w:cs="Calibri"/>
          <w:bCs/>
          <w:iCs/>
          <w:color w:val="000000"/>
          <w:szCs w:val="22"/>
          <w:lang w:bidi="he-IL"/>
        </w:rPr>
        <w:t>ramework in Ghana recognises the different types of rights over forestlands, including statutory and customary ownership and user rights. The legal framework also caters for a regime of a right to fair distribution of benefits arising from the use of forest resources. In some instances, the amount to be paid and who the beneficiaries of such payments are, have been clearly stipulated</w:t>
      </w:r>
      <w:r w:rsidRPr="00D75BE8">
        <w:rPr>
          <w:rFonts w:ascii="Calibri" w:eastAsia="MS Gothic" w:hAnsi="Calibri" w:cs="Calibri"/>
          <w:bCs/>
          <w:iCs/>
          <w:color w:val="000000"/>
          <w:szCs w:val="22"/>
          <w:vertAlign w:val="superscript"/>
          <w:lang w:bidi="he-IL"/>
        </w:rPr>
        <w:footnoteReference w:id="98"/>
      </w:r>
      <w:r w:rsidRPr="00D75BE8">
        <w:rPr>
          <w:rFonts w:ascii="Calibri" w:eastAsia="MS Gothic" w:hAnsi="Calibri" w:cs="Calibri"/>
          <w:bCs/>
          <w:iCs/>
          <w:color w:val="000000"/>
          <w:szCs w:val="22"/>
          <w:lang w:bidi="he-IL"/>
        </w:rPr>
        <w:t>.</w:t>
      </w:r>
    </w:p>
    <w:p w14:paraId="297BC962" w14:textId="77777777" w:rsidR="00D75BE8" w:rsidRPr="00D75BE8" w:rsidRDefault="00D75BE8" w:rsidP="00C21316">
      <w:pPr>
        <w:spacing w:after="240"/>
        <w:rPr>
          <w:rFonts w:ascii="Calibri" w:eastAsia="MS Gothic" w:hAnsi="Calibri" w:cs="Calibri"/>
          <w:szCs w:val="22"/>
          <w:lang w:val="en-US"/>
        </w:rPr>
      </w:pPr>
      <w:r w:rsidRPr="00D75BE8">
        <w:rPr>
          <w:rFonts w:ascii="Calibri" w:eastAsia="MS Gothic" w:hAnsi="Calibri" w:cs="Calibri"/>
          <w:bCs/>
          <w:iCs/>
          <w:color w:val="000000"/>
          <w:szCs w:val="22"/>
          <w:lang w:bidi="he-IL"/>
        </w:rPr>
        <w:t xml:space="preserve">Ghana also maintains a </w:t>
      </w:r>
      <w:r w:rsidRPr="00D75BE8">
        <w:rPr>
          <w:rFonts w:ascii="Calibri" w:eastAsia="MS Gothic" w:hAnsi="Calibri" w:cs="Calibri"/>
          <w:szCs w:val="22"/>
          <w:lang w:val="en-US"/>
        </w:rPr>
        <w:t>general prohibition in the Constitution and the Ghanaian legal framework</w:t>
      </w:r>
      <w:r w:rsidRPr="00D75BE8">
        <w:rPr>
          <w:rFonts w:ascii="Calibri" w:eastAsia="MS Gothic" w:hAnsi="Calibri" w:cs="Calibri"/>
          <w:szCs w:val="22"/>
          <w:vertAlign w:val="superscript"/>
          <w:lang w:val="en-US"/>
        </w:rPr>
        <w:t xml:space="preserve"> </w:t>
      </w:r>
      <w:r w:rsidRPr="00D75BE8">
        <w:rPr>
          <w:rFonts w:ascii="Calibri" w:eastAsia="MS Gothic" w:hAnsi="Calibri" w:cs="Calibri"/>
          <w:szCs w:val="22"/>
          <w:lang w:val="en-US"/>
        </w:rPr>
        <w:t xml:space="preserve">on discrimination, including discrimination on grounds of gender. Access to information is secured in Ghana through several means, from the courts to a traditional system of adjudication through the National and Regional Houses of Chiefs, and an Alternative Dispute Resolution (ADR) system, Ghana’s legal framework provides effective dispute resolution mechanisms capable of addressing all forms of disputes at all levels. This includes special provisions through a Legal Aid Scheme, of provision of access to impoverished and vulnerable sections of society. </w:t>
      </w:r>
    </w:p>
    <w:p w14:paraId="4E442371" w14:textId="6868DD43" w:rsidR="00187861" w:rsidRDefault="00D75BE8" w:rsidP="00C21316">
      <w:pPr>
        <w:spacing w:after="240"/>
        <w:rPr>
          <w:rFonts w:ascii="Calibri" w:eastAsia="MS Gothic" w:hAnsi="Calibri" w:cs="Calibri"/>
          <w:bCs/>
          <w:iCs/>
          <w:color w:val="000000"/>
          <w:szCs w:val="22"/>
          <w:lang w:bidi="he-IL"/>
        </w:rPr>
      </w:pPr>
      <w:r w:rsidRPr="00D75BE8">
        <w:rPr>
          <w:rFonts w:ascii="Calibri" w:eastAsia="MS Gothic" w:hAnsi="Calibri" w:cs="Calibri"/>
          <w:bCs/>
          <w:iCs/>
          <w:color w:val="000000"/>
          <w:szCs w:val="22"/>
          <w:lang w:bidi="he-IL"/>
        </w:rPr>
        <w:t xml:space="preserve">Finally, in terms of pure governance- the consideration of environmental and social aspects when making or implementing policy, and the need for cross sectoral coordination: Constitutional provisions mandate the government and citizens to take necessary steps towards the protection and safeguarding of the environment, with review of environmental considerations of any undertaking being captured in the Environmental Protection Agency Act, wherein it provides for the appointment of Environmental Protection Inspectors. </w:t>
      </w:r>
    </w:p>
    <w:p w14:paraId="0CE97D36" w14:textId="098BABA2" w:rsidR="00D75BE8" w:rsidRPr="00D75BE8" w:rsidRDefault="00D75BE8" w:rsidP="00C21316">
      <w:pPr>
        <w:spacing w:after="240"/>
        <w:rPr>
          <w:rFonts w:ascii="Calibri" w:eastAsia="MS Gothic" w:hAnsi="Calibri" w:cs="Calibri"/>
          <w:bCs/>
          <w:iCs/>
          <w:color w:val="000000"/>
          <w:szCs w:val="22"/>
          <w:lang w:bidi="he-IL"/>
        </w:rPr>
      </w:pPr>
      <w:r w:rsidRPr="00D75BE8">
        <w:rPr>
          <w:rFonts w:ascii="Calibri" w:eastAsia="MS Gothic" w:hAnsi="Calibri" w:cs="Calibri"/>
          <w:bCs/>
          <w:iCs/>
          <w:color w:val="000000"/>
          <w:szCs w:val="22"/>
          <w:lang w:bidi="he-IL"/>
        </w:rPr>
        <w:t>The Ghana Forest and Wildlife Policy, 2012  promotes inter-sectoral collaboration among relevant Ministries, Departments and Agencies concerned with the sustainable management of the forest ecosystem, to generate and share information to improve forest policy and management  by involving all stakeholders in forest management planning, policy formulation and decision making.</w:t>
      </w:r>
    </w:p>
    <w:p w14:paraId="74753477" w14:textId="77777777" w:rsidR="00D75BE8" w:rsidRPr="00D75BE8" w:rsidRDefault="00D75BE8" w:rsidP="00D75BE8">
      <w:pPr>
        <w:spacing w:after="240"/>
        <w:jc w:val="left"/>
        <w:rPr>
          <w:rFonts w:ascii="Calibri" w:eastAsia="MS Gothic" w:hAnsi="Calibri" w:cs="Calibri"/>
          <w:bCs/>
          <w:iCs/>
          <w:color w:val="000000"/>
          <w:szCs w:val="22"/>
          <w:lang w:bidi="he-IL"/>
        </w:rPr>
      </w:pPr>
    </w:p>
    <w:tbl>
      <w:tblPr>
        <w:tblW w:w="52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87861" w:rsidRPr="00D75BE8" w14:paraId="4D7270F4" w14:textId="77777777" w:rsidTr="00C21316">
        <w:trPr>
          <w:trHeight w:val="364"/>
        </w:trPr>
        <w:tc>
          <w:tcPr>
            <w:tcW w:w="5000" w:type="pct"/>
            <w:shd w:val="clear" w:color="auto" w:fill="AA97E4"/>
          </w:tcPr>
          <w:p w14:paraId="4A983D3F" w14:textId="77777777" w:rsidR="00187861" w:rsidRPr="00D75BE8" w:rsidRDefault="00187861" w:rsidP="00D75BE8">
            <w:pPr>
              <w:spacing w:after="200" w:line="252" w:lineRule="auto"/>
              <w:rPr>
                <w:rFonts w:ascii="Candara" w:eastAsia="MS Gothic" w:hAnsi="Candara" w:cs="Times New Roman"/>
                <w:color w:val="FFFFFF"/>
                <w:sz w:val="20"/>
                <w:szCs w:val="20"/>
              </w:rPr>
            </w:pPr>
            <w:r w:rsidRPr="00D75BE8">
              <w:rPr>
                <w:rFonts w:ascii="Candara" w:eastAsia="MS Gothic" w:hAnsi="Candara" w:cs="Times New Roman"/>
                <w:color w:val="FFFFFF"/>
                <w:sz w:val="20"/>
                <w:szCs w:val="20"/>
              </w:rPr>
              <w:t>List of relevant Policies, Laws and Regulations</w:t>
            </w:r>
          </w:p>
        </w:tc>
      </w:tr>
      <w:tr w:rsidR="00187861" w:rsidRPr="00D75BE8" w14:paraId="36137DB1" w14:textId="77777777" w:rsidTr="00C21316">
        <w:trPr>
          <w:trHeight w:val="1178"/>
        </w:trPr>
        <w:tc>
          <w:tcPr>
            <w:tcW w:w="5000" w:type="pct"/>
          </w:tcPr>
          <w:p w14:paraId="7AE4C7EB" w14:textId="77777777" w:rsidR="00566B9F" w:rsidRDefault="00187861" w:rsidP="0039326F">
            <w:pPr>
              <w:numPr>
                <w:ilvl w:val="0"/>
                <w:numId w:val="13"/>
              </w:numPr>
              <w:contextualSpacing/>
              <w:jc w:val="left"/>
              <w:rPr>
                <w:rFonts w:ascii="Calibri" w:eastAsia="Calibri" w:hAnsi="Calibri" w:cs="Cambria"/>
                <w:sz w:val="20"/>
                <w:szCs w:val="20"/>
                <w:lang w:val="en-US"/>
              </w:rPr>
            </w:pPr>
            <w:r w:rsidRPr="00C21316">
              <w:rPr>
                <w:rFonts w:ascii="Calibri" w:eastAsia="Times New Roman" w:hAnsi="Calibri" w:cs="Arial"/>
                <w:sz w:val="20"/>
                <w:szCs w:val="20"/>
              </w:rPr>
              <w:t>Constitution of the Republic of Ghana, (1992)</w:t>
            </w:r>
          </w:p>
          <w:p w14:paraId="683C7E54" w14:textId="04A99442" w:rsidR="00187861" w:rsidRPr="00C21316" w:rsidRDefault="00187861" w:rsidP="0039326F">
            <w:pPr>
              <w:numPr>
                <w:ilvl w:val="0"/>
                <w:numId w:val="13"/>
              </w:numPr>
              <w:contextualSpacing/>
              <w:jc w:val="left"/>
              <w:rPr>
                <w:rFonts w:ascii="Calibri" w:eastAsia="Calibri" w:hAnsi="Calibri" w:cs="Cambria"/>
                <w:sz w:val="20"/>
                <w:szCs w:val="20"/>
                <w:lang w:val="en-US"/>
              </w:rPr>
            </w:pPr>
            <w:r w:rsidRPr="00566B9F">
              <w:rPr>
                <w:rFonts w:ascii="Candara" w:eastAsia="MS Gothic" w:hAnsi="Candara" w:cs="Times New Roman"/>
                <w:sz w:val="20"/>
                <w:szCs w:val="20"/>
              </w:rPr>
              <w:t>The Administration of Lands</w:t>
            </w:r>
            <w:r w:rsidR="006E00E3">
              <w:rPr>
                <w:rFonts w:ascii="Candara" w:eastAsia="MS Gothic" w:hAnsi="Candara" w:cs="Times New Roman"/>
                <w:sz w:val="20"/>
                <w:szCs w:val="20"/>
              </w:rPr>
              <w:t xml:space="preserve"> (1962) </w:t>
            </w:r>
          </w:p>
          <w:p w14:paraId="2532C312" w14:textId="4A56152A" w:rsidR="00187861" w:rsidRPr="00C21316" w:rsidRDefault="00187861" w:rsidP="0039326F">
            <w:pPr>
              <w:numPr>
                <w:ilvl w:val="0"/>
                <w:numId w:val="13"/>
              </w:numPr>
              <w:contextualSpacing/>
              <w:jc w:val="left"/>
              <w:rPr>
                <w:rFonts w:ascii="Candara" w:eastAsia="MS Gothic" w:hAnsi="Candara" w:cs="Times New Roman"/>
                <w:sz w:val="20"/>
                <w:szCs w:val="20"/>
                <w:lang w:val="en-US"/>
              </w:rPr>
            </w:pPr>
            <w:r w:rsidRPr="00187861">
              <w:rPr>
                <w:rFonts w:ascii="Candara" w:eastAsia="MS Gothic" w:hAnsi="Candara" w:cs="Times New Roman"/>
                <w:sz w:val="20"/>
                <w:szCs w:val="20"/>
              </w:rPr>
              <w:t>The Environmental Assessment Regulations</w:t>
            </w:r>
          </w:p>
          <w:p w14:paraId="238FB835" w14:textId="6C862325" w:rsidR="00187861" w:rsidRPr="00C21316" w:rsidRDefault="00187861" w:rsidP="0039326F">
            <w:pPr>
              <w:numPr>
                <w:ilvl w:val="0"/>
                <w:numId w:val="13"/>
              </w:numPr>
              <w:contextualSpacing/>
              <w:jc w:val="left"/>
              <w:rPr>
                <w:rFonts w:ascii="Candara" w:eastAsia="MS Gothic" w:hAnsi="Candara" w:cs="Times New Roman"/>
                <w:sz w:val="20"/>
                <w:szCs w:val="20"/>
                <w:lang w:val="en-US"/>
              </w:rPr>
            </w:pPr>
            <w:r w:rsidRPr="00187861">
              <w:rPr>
                <w:rFonts w:ascii="Candara" w:eastAsia="MS Gothic" w:hAnsi="Candara" w:cs="Times New Roman"/>
                <w:sz w:val="20"/>
                <w:szCs w:val="20"/>
                <w:lang w:val="en-US"/>
              </w:rPr>
              <w:t xml:space="preserve">The </w:t>
            </w:r>
            <w:r w:rsidRPr="00187861">
              <w:rPr>
                <w:rFonts w:ascii="Candara" w:eastAsia="MS Gothic" w:hAnsi="Candara" w:cs="Times New Roman"/>
                <w:sz w:val="20"/>
                <w:szCs w:val="20"/>
              </w:rPr>
              <w:t>Forest and Wildlife Policy</w:t>
            </w:r>
            <w:r w:rsidR="006E00E3">
              <w:rPr>
                <w:rFonts w:ascii="Candara" w:eastAsia="MS Gothic" w:hAnsi="Candara" w:cs="Times New Roman"/>
                <w:sz w:val="20"/>
                <w:szCs w:val="20"/>
              </w:rPr>
              <w:t xml:space="preserve"> (2012) </w:t>
            </w:r>
          </w:p>
          <w:p w14:paraId="02B21713" w14:textId="77777777" w:rsidR="00566B9F" w:rsidRPr="00C21316" w:rsidRDefault="00187861" w:rsidP="0039326F">
            <w:pPr>
              <w:numPr>
                <w:ilvl w:val="0"/>
                <w:numId w:val="13"/>
              </w:numPr>
              <w:contextualSpacing/>
              <w:jc w:val="left"/>
              <w:rPr>
                <w:rFonts w:ascii="Calibri" w:eastAsia="MS Gothic" w:hAnsi="Calibri" w:cs="Calibri"/>
                <w:bCs/>
                <w:sz w:val="20"/>
                <w:szCs w:val="20"/>
              </w:rPr>
            </w:pPr>
            <w:r w:rsidRPr="00C21316">
              <w:rPr>
                <w:rFonts w:ascii="Calibri" w:eastAsia="Times New Roman" w:hAnsi="Calibri" w:cs="Arial"/>
                <w:sz w:val="20"/>
                <w:szCs w:val="20"/>
              </w:rPr>
              <w:t>Ghana Forest and Wildlife Policy, (2012)</w:t>
            </w:r>
          </w:p>
          <w:p w14:paraId="4F15E6A3" w14:textId="5DBBA4E7" w:rsidR="00566B9F" w:rsidRPr="00C21316" w:rsidRDefault="00566B9F" w:rsidP="0039326F">
            <w:pPr>
              <w:numPr>
                <w:ilvl w:val="0"/>
                <w:numId w:val="13"/>
              </w:numPr>
              <w:contextualSpacing/>
              <w:jc w:val="left"/>
              <w:rPr>
                <w:rFonts w:ascii="Calibri" w:eastAsia="MS Gothic" w:hAnsi="Calibri" w:cs="Calibri"/>
                <w:bCs/>
                <w:sz w:val="20"/>
                <w:szCs w:val="20"/>
              </w:rPr>
            </w:pPr>
            <w:r w:rsidRPr="00C21316">
              <w:rPr>
                <w:rFonts w:ascii="Calibri" w:eastAsia="MS Gothic" w:hAnsi="Calibri" w:cs="Calibri"/>
                <w:bCs/>
                <w:sz w:val="20"/>
                <w:szCs w:val="20"/>
              </w:rPr>
              <w:t xml:space="preserve"> Environmental Protection Agency Act (1994)</w:t>
            </w:r>
          </w:p>
          <w:p w14:paraId="12C21D3F" w14:textId="77777777" w:rsidR="00091D0F" w:rsidRDefault="00566B9F" w:rsidP="0039326F">
            <w:pPr>
              <w:numPr>
                <w:ilvl w:val="0"/>
                <w:numId w:val="13"/>
              </w:numPr>
              <w:contextualSpacing/>
              <w:jc w:val="left"/>
              <w:rPr>
                <w:rFonts w:ascii="Calibri" w:eastAsia="MS Gothic" w:hAnsi="Calibri" w:cs="Calibri"/>
                <w:bCs/>
                <w:sz w:val="20"/>
                <w:szCs w:val="20"/>
              </w:rPr>
            </w:pPr>
            <w:r w:rsidRPr="00C21316">
              <w:rPr>
                <w:rFonts w:ascii="Calibri" w:eastAsia="MS Gothic" w:hAnsi="Calibri" w:cs="Calibri"/>
                <w:bCs/>
                <w:sz w:val="20"/>
                <w:szCs w:val="20"/>
              </w:rPr>
              <w:t>National Commission on Civic Education Act (1993)</w:t>
            </w:r>
          </w:p>
          <w:p w14:paraId="12185B66" w14:textId="424CFD99" w:rsidR="00566B9F" w:rsidRPr="00C21316" w:rsidRDefault="00566B9F" w:rsidP="0039326F">
            <w:pPr>
              <w:pStyle w:val="ListParagraph"/>
              <w:numPr>
                <w:ilvl w:val="0"/>
                <w:numId w:val="13"/>
              </w:numPr>
              <w:rPr>
                <w:rFonts w:ascii="Calibri" w:eastAsia="MS Gothic" w:hAnsi="Calibri" w:cs="Calibri"/>
                <w:bCs/>
                <w:sz w:val="20"/>
                <w:szCs w:val="20"/>
              </w:rPr>
            </w:pPr>
            <w:r w:rsidRPr="00C21316">
              <w:rPr>
                <w:rFonts w:ascii="Calibri" w:eastAsia="MS Gothic" w:hAnsi="Calibri" w:cs="Calibri"/>
                <w:bCs/>
                <w:sz w:val="20"/>
                <w:szCs w:val="20"/>
              </w:rPr>
              <w:t>Commission on Human Rights and Administrative Justice Act (1993)</w:t>
            </w:r>
          </w:p>
          <w:p w14:paraId="24E0D280" w14:textId="77777777" w:rsidR="00566B9F" w:rsidRPr="00C21316" w:rsidRDefault="00566B9F" w:rsidP="0039326F">
            <w:pPr>
              <w:numPr>
                <w:ilvl w:val="0"/>
                <w:numId w:val="13"/>
              </w:numPr>
              <w:contextualSpacing/>
              <w:jc w:val="left"/>
              <w:rPr>
                <w:rFonts w:ascii="Calibri" w:eastAsia="MS Gothic" w:hAnsi="Calibri" w:cs="Calibri"/>
                <w:bCs/>
                <w:sz w:val="20"/>
                <w:szCs w:val="20"/>
              </w:rPr>
            </w:pPr>
            <w:r w:rsidRPr="00C21316">
              <w:rPr>
                <w:rFonts w:ascii="Calibri" w:eastAsia="MS Gothic" w:hAnsi="Calibri" w:cs="Calibri"/>
                <w:bCs/>
                <w:sz w:val="20"/>
                <w:szCs w:val="20"/>
              </w:rPr>
              <w:t>Audit Service Act (2000)</w:t>
            </w:r>
          </w:p>
          <w:p w14:paraId="5FF846CC" w14:textId="77777777" w:rsidR="00566B9F" w:rsidRPr="00C21316" w:rsidRDefault="00566B9F" w:rsidP="0039326F">
            <w:pPr>
              <w:numPr>
                <w:ilvl w:val="0"/>
                <w:numId w:val="13"/>
              </w:numPr>
              <w:contextualSpacing/>
              <w:jc w:val="left"/>
              <w:rPr>
                <w:rFonts w:ascii="Calibri" w:eastAsia="MS Gothic" w:hAnsi="Calibri" w:cs="Calibri"/>
                <w:bCs/>
                <w:sz w:val="20"/>
                <w:szCs w:val="20"/>
              </w:rPr>
            </w:pPr>
            <w:r w:rsidRPr="00C21316">
              <w:rPr>
                <w:rFonts w:ascii="Calibri" w:eastAsia="MS Gothic" w:hAnsi="Calibri" w:cs="Calibri"/>
                <w:bCs/>
                <w:sz w:val="20"/>
                <w:szCs w:val="20"/>
              </w:rPr>
              <w:lastRenderedPageBreak/>
              <w:t>Internal Audit Agency Act (2003)</w:t>
            </w:r>
          </w:p>
          <w:p w14:paraId="52C0F931" w14:textId="77777777" w:rsidR="00566B9F" w:rsidRPr="00C21316" w:rsidRDefault="00566B9F" w:rsidP="0039326F">
            <w:pPr>
              <w:numPr>
                <w:ilvl w:val="0"/>
                <w:numId w:val="13"/>
              </w:numPr>
              <w:contextualSpacing/>
              <w:jc w:val="left"/>
              <w:rPr>
                <w:rFonts w:ascii="Calibri" w:eastAsia="MS Gothic" w:hAnsi="Calibri" w:cs="Calibri"/>
                <w:bCs/>
                <w:sz w:val="20"/>
                <w:szCs w:val="20"/>
              </w:rPr>
            </w:pPr>
            <w:r w:rsidRPr="00C21316">
              <w:rPr>
                <w:rFonts w:ascii="Calibri" w:eastAsia="Calibri" w:hAnsi="Calibri" w:cs="Arial"/>
                <w:sz w:val="20"/>
                <w:szCs w:val="20"/>
                <w:lang w:bidi="he-IL"/>
              </w:rPr>
              <w:t>Commission on Human Rights and Administrative Justice (CHRAJ) Act (1993).</w:t>
            </w:r>
          </w:p>
          <w:p w14:paraId="5024BB05" w14:textId="77777777" w:rsidR="00566B9F" w:rsidRPr="00C21316" w:rsidRDefault="00566B9F" w:rsidP="0039326F">
            <w:pPr>
              <w:numPr>
                <w:ilvl w:val="0"/>
                <w:numId w:val="13"/>
              </w:numPr>
              <w:contextualSpacing/>
              <w:jc w:val="left"/>
              <w:rPr>
                <w:rFonts w:ascii="Calibri" w:eastAsia="MS Gothic" w:hAnsi="Calibri" w:cs="Calibri"/>
                <w:bCs/>
                <w:sz w:val="20"/>
                <w:szCs w:val="20"/>
              </w:rPr>
            </w:pPr>
            <w:r w:rsidRPr="00C21316">
              <w:rPr>
                <w:rFonts w:ascii="Calibri" w:eastAsia="Calibri" w:hAnsi="Calibri" w:cs="Arial"/>
                <w:sz w:val="20"/>
                <w:szCs w:val="20"/>
                <w:lang w:bidi="he-IL"/>
              </w:rPr>
              <w:t>Economic and Organised Crime Office Act, (2010)</w:t>
            </w:r>
          </w:p>
          <w:p w14:paraId="2C279013" w14:textId="77777777" w:rsidR="00566B9F" w:rsidRPr="00C21316" w:rsidRDefault="00566B9F" w:rsidP="0039326F">
            <w:pPr>
              <w:numPr>
                <w:ilvl w:val="0"/>
                <w:numId w:val="13"/>
              </w:numPr>
              <w:contextualSpacing/>
              <w:jc w:val="left"/>
              <w:rPr>
                <w:rFonts w:ascii="Calibri" w:eastAsia="MS Gothic" w:hAnsi="Calibri" w:cs="Calibri"/>
                <w:bCs/>
                <w:sz w:val="20"/>
                <w:szCs w:val="20"/>
              </w:rPr>
            </w:pPr>
            <w:r w:rsidRPr="00C21316">
              <w:rPr>
                <w:rFonts w:ascii="Calibri" w:eastAsia="Calibri" w:hAnsi="Calibri" w:cs="Arial"/>
                <w:sz w:val="20"/>
                <w:szCs w:val="20"/>
                <w:lang w:bidi="he-IL"/>
              </w:rPr>
              <w:t>Criminal Offences Act, (1960)</w:t>
            </w:r>
          </w:p>
          <w:p w14:paraId="59524702" w14:textId="77777777" w:rsidR="00566B9F" w:rsidRPr="00C21316" w:rsidRDefault="00566B9F" w:rsidP="0039326F">
            <w:pPr>
              <w:numPr>
                <w:ilvl w:val="0"/>
                <w:numId w:val="13"/>
              </w:numPr>
              <w:contextualSpacing/>
              <w:jc w:val="left"/>
              <w:rPr>
                <w:rFonts w:ascii="Calibri" w:eastAsia="MS Gothic" w:hAnsi="Calibri" w:cs="Calibri"/>
                <w:bCs/>
                <w:sz w:val="20"/>
                <w:szCs w:val="20"/>
              </w:rPr>
            </w:pPr>
            <w:r w:rsidRPr="00C21316">
              <w:rPr>
                <w:rFonts w:ascii="Calibri" w:eastAsia="Times New Roman" w:hAnsi="Calibri" w:cs="Arial"/>
                <w:sz w:val="20"/>
                <w:szCs w:val="20"/>
                <w:lang w:bidi="he-IL"/>
              </w:rPr>
              <w:t>National anti-corruption action plan (2012-2021)</w:t>
            </w:r>
          </w:p>
          <w:p w14:paraId="1114A204" w14:textId="274663A5" w:rsidR="006E00E3" w:rsidRPr="00C21316" w:rsidRDefault="006E00E3" w:rsidP="0039326F">
            <w:pPr>
              <w:numPr>
                <w:ilvl w:val="0"/>
                <w:numId w:val="13"/>
              </w:numPr>
              <w:contextualSpacing/>
              <w:jc w:val="left"/>
              <w:rPr>
                <w:rFonts w:ascii="Calibri" w:eastAsia="MS Gothic" w:hAnsi="Calibri" w:cs="Calibri"/>
                <w:bCs/>
                <w:sz w:val="20"/>
                <w:szCs w:val="20"/>
              </w:rPr>
            </w:pPr>
            <w:r w:rsidRPr="00C21316">
              <w:rPr>
                <w:rFonts w:ascii="Calibri" w:eastAsia="MS Gothic" w:hAnsi="Calibri" w:cs="Calibri"/>
                <w:bCs/>
                <w:sz w:val="20"/>
                <w:szCs w:val="20"/>
              </w:rPr>
              <w:t xml:space="preserve">Forest </w:t>
            </w:r>
            <w:r w:rsidR="002752EB">
              <w:rPr>
                <w:rFonts w:ascii="Calibri" w:eastAsia="MS Gothic" w:hAnsi="Calibri" w:cs="Calibri"/>
                <w:bCs/>
                <w:sz w:val="20"/>
                <w:szCs w:val="20"/>
              </w:rPr>
              <w:t>Ordinance</w:t>
            </w:r>
            <w:r w:rsidR="002752EB" w:rsidRPr="00C21316">
              <w:rPr>
                <w:rFonts w:ascii="Calibri" w:eastAsia="MS Gothic" w:hAnsi="Calibri" w:cs="Calibri"/>
                <w:bCs/>
                <w:sz w:val="20"/>
                <w:szCs w:val="20"/>
              </w:rPr>
              <w:t xml:space="preserve"> </w:t>
            </w:r>
            <w:r w:rsidRPr="00C21316">
              <w:rPr>
                <w:rFonts w:ascii="Calibri" w:eastAsia="MS Gothic" w:hAnsi="Calibri" w:cs="Calibri"/>
                <w:bCs/>
                <w:sz w:val="20"/>
                <w:szCs w:val="20"/>
              </w:rPr>
              <w:t>(1927)</w:t>
            </w:r>
          </w:p>
          <w:p w14:paraId="5F982DBF" w14:textId="77777777" w:rsidR="006E00E3" w:rsidRPr="00C21316" w:rsidRDefault="006E00E3" w:rsidP="0039326F">
            <w:pPr>
              <w:numPr>
                <w:ilvl w:val="0"/>
                <w:numId w:val="13"/>
              </w:numPr>
              <w:contextualSpacing/>
              <w:jc w:val="left"/>
              <w:rPr>
                <w:rFonts w:ascii="Calibri" w:eastAsia="MS Gothic" w:hAnsi="Calibri" w:cs="Calibri"/>
                <w:bCs/>
                <w:sz w:val="20"/>
                <w:szCs w:val="20"/>
              </w:rPr>
            </w:pPr>
            <w:r w:rsidRPr="00C21316">
              <w:rPr>
                <w:rFonts w:ascii="Calibri" w:eastAsia="MS Gothic" w:hAnsi="Calibri" w:cs="Calibri"/>
                <w:bCs/>
                <w:sz w:val="20"/>
                <w:szCs w:val="20"/>
              </w:rPr>
              <w:t>National Land Policy (1999)</w:t>
            </w:r>
          </w:p>
          <w:p w14:paraId="6C1FDE5D" w14:textId="77777777" w:rsidR="006E00E3" w:rsidRPr="00C21316" w:rsidRDefault="006E00E3" w:rsidP="0039326F">
            <w:pPr>
              <w:numPr>
                <w:ilvl w:val="0"/>
                <w:numId w:val="13"/>
              </w:numPr>
              <w:contextualSpacing/>
              <w:jc w:val="left"/>
              <w:rPr>
                <w:rFonts w:ascii="Calibri" w:eastAsia="MS Gothic" w:hAnsi="Calibri" w:cs="Calibri"/>
                <w:bCs/>
                <w:sz w:val="20"/>
                <w:szCs w:val="20"/>
              </w:rPr>
            </w:pPr>
            <w:r w:rsidRPr="00C21316">
              <w:rPr>
                <w:rFonts w:ascii="Calibri" w:eastAsia="MS Gothic" w:hAnsi="Calibri" w:cs="Calibri"/>
                <w:bCs/>
                <w:sz w:val="20"/>
                <w:szCs w:val="20"/>
              </w:rPr>
              <w:t>Administration of Lands Act (1962)</w:t>
            </w:r>
          </w:p>
          <w:p w14:paraId="20BAB266" w14:textId="77777777" w:rsidR="006E00E3" w:rsidRPr="00C21316" w:rsidRDefault="006E00E3" w:rsidP="0039326F">
            <w:pPr>
              <w:numPr>
                <w:ilvl w:val="0"/>
                <w:numId w:val="14"/>
              </w:numPr>
              <w:contextualSpacing/>
              <w:jc w:val="left"/>
              <w:rPr>
                <w:rFonts w:ascii="Calibri" w:eastAsia="MS Gothic" w:hAnsi="Calibri" w:cs="Calibri"/>
                <w:b/>
                <w:sz w:val="20"/>
                <w:szCs w:val="20"/>
              </w:rPr>
            </w:pPr>
            <w:r w:rsidRPr="00C21316">
              <w:rPr>
                <w:rFonts w:ascii="Calibri" w:eastAsia="MS Gothic" w:hAnsi="Calibri" w:cs="Calibri"/>
                <w:bCs/>
                <w:sz w:val="20"/>
                <w:szCs w:val="20"/>
              </w:rPr>
              <w:t xml:space="preserve">Conveyancing Act (1973) </w:t>
            </w:r>
          </w:p>
          <w:p w14:paraId="04661955" w14:textId="02375B6A" w:rsidR="006E00E3" w:rsidRPr="00C21316" w:rsidRDefault="006E00E3" w:rsidP="0039326F">
            <w:pPr>
              <w:numPr>
                <w:ilvl w:val="0"/>
                <w:numId w:val="14"/>
              </w:numPr>
              <w:contextualSpacing/>
              <w:jc w:val="left"/>
              <w:rPr>
                <w:rFonts w:ascii="Calibri" w:eastAsia="MS Gothic" w:hAnsi="Calibri" w:cs="Calibri"/>
                <w:b/>
                <w:sz w:val="20"/>
                <w:szCs w:val="20"/>
              </w:rPr>
            </w:pPr>
            <w:r w:rsidRPr="00C21316">
              <w:rPr>
                <w:rFonts w:ascii="Calibri" w:eastAsia="MS Gothic" w:hAnsi="Calibri" w:cs="Calibri"/>
                <w:bCs/>
                <w:sz w:val="20"/>
                <w:szCs w:val="20"/>
              </w:rPr>
              <w:t>Timber Resource Management Act (1998)</w:t>
            </w:r>
          </w:p>
          <w:p w14:paraId="5BE67B03" w14:textId="77777777" w:rsidR="006E00E3" w:rsidRPr="00C21316" w:rsidRDefault="006E00E3" w:rsidP="0039326F">
            <w:pPr>
              <w:numPr>
                <w:ilvl w:val="0"/>
                <w:numId w:val="14"/>
              </w:numPr>
              <w:contextualSpacing/>
              <w:jc w:val="left"/>
              <w:rPr>
                <w:rFonts w:ascii="Calibri" w:eastAsia="MS Gothic" w:hAnsi="Calibri" w:cs="Calibri"/>
                <w:b/>
                <w:sz w:val="20"/>
                <w:szCs w:val="20"/>
              </w:rPr>
            </w:pPr>
            <w:r w:rsidRPr="00C21316">
              <w:rPr>
                <w:rFonts w:ascii="Calibri" w:eastAsia="MS Gothic" w:hAnsi="Calibri" w:cs="Calibri"/>
                <w:bCs/>
                <w:sz w:val="20"/>
                <w:szCs w:val="20"/>
              </w:rPr>
              <w:t>Head of Family (accountability) Act (1985)</w:t>
            </w:r>
          </w:p>
          <w:p w14:paraId="25AA238A" w14:textId="77777777" w:rsidR="006E00E3" w:rsidRPr="00C21316" w:rsidRDefault="006E00E3" w:rsidP="0039326F">
            <w:pPr>
              <w:numPr>
                <w:ilvl w:val="0"/>
                <w:numId w:val="13"/>
              </w:numPr>
              <w:contextualSpacing/>
              <w:jc w:val="left"/>
              <w:rPr>
                <w:rFonts w:ascii="Candara" w:eastAsia="MS Gothic" w:hAnsi="Candara" w:cs="Times New Roman"/>
                <w:bCs/>
                <w:sz w:val="20"/>
                <w:szCs w:val="20"/>
              </w:rPr>
            </w:pPr>
            <w:r w:rsidRPr="00C21316">
              <w:rPr>
                <w:rFonts w:ascii="Candara" w:eastAsia="MS Gothic" w:hAnsi="Candara" w:cs="Times New Roman"/>
                <w:bCs/>
                <w:sz w:val="20"/>
                <w:szCs w:val="20"/>
              </w:rPr>
              <w:t>National Gender Policy (2016)</w:t>
            </w:r>
          </w:p>
          <w:p w14:paraId="0B22231A" w14:textId="77E9D2A3" w:rsidR="006E00E3" w:rsidRPr="005D75FF" w:rsidRDefault="006E00E3" w:rsidP="0039326F">
            <w:pPr>
              <w:numPr>
                <w:ilvl w:val="0"/>
                <w:numId w:val="13"/>
              </w:numPr>
              <w:contextualSpacing/>
              <w:jc w:val="left"/>
              <w:rPr>
                <w:rFonts w:ascii="Candara" w:eastAsia="MS Gothic" w:hAnsi="Candara" w:cs="Times New Roman"/>
                <w:bCs/>
                <w:sz w:val="20"/>
                <w:szCs w:val="20"/>
              </w:rPr>
            </w:pPr>
            <w:r w:rsidRPr="00C21316">
              <w:rPr>
                <w:rFonts w:ascii="Candara" w:eastAsia="MS Gothic" w:hAnsi="Candara" w:cs="Times New Roman"/>
                <w:bCs/>
                <w:sz w:val="20"/>
                <w:szCs w:val="20"/>
              </w:rPr>
              <w:t>Labour Act (2003)</w:t>
            </w:r>
          </w:p>
          <w:p w14:paraId="78053253" w14:textId="77777777" w:rsidR="006E00E3" w:rsidRPr="005D75FF" w:rsidRDefault="006E00E3" w:rsidP="0039326F">
            <w:pPr>
              <w:numPr>
                <w:ilvl w:val="0"/>
                <w:numId w:val="13"/>
              </w:numPr>
              <w:contextualSpacing/>
              <w:jc w:val="left"/>
              <w:rPr>
                <w:rFonts w:ascii="Candara" w:eastAsia="MS Gothic" w:hAnsi="Candara" w:cs="Times New Roman"/>
                <w:bCs/>
                <w:sz w:val="20"/>
                <w:szCs w:val="20"/>
              </w:rPr>
            </w:pPr>
            <w:r w:rsidRPr="005D75FF">
              <w:rPr>
                <w:rFonts w:ascii="Candara" w:eastAsia="MS Gothic" w:hAnsi="Candara" w:cs="Times New Roman"/>
                <w:bCs/>
                <w:sz w:val="20"/>
                <w:szCs w:val="20"/>
              </w:rPr>
              <w:t>Alternative Dispute Resolution Act (2010)</w:t>
            </w:r>
          </w:p>
          <w:p w14:paraId="71FDF100" w14:textId="09E23D63" w:rsidR="00187861" w:rsidRPr="00C21316" w:rsidRDefault="006E00E3" w:rsidP="0039326F">
            <w:pPr>
              <w:numPr>
                <w:ilvl w:val="0"/>
                <w:numId w:val="13"/>
              </w:numPr>
              <w:contextualSpacing/>
              <w:jc w:val="left"/>
              <w:rPr>
                <w:rFonts w:ascii="Candara" w:eastAsia="MS Gothic" w:hAnsi="Candara" w:cs="Times New Roman"/>
                <w:bCs/>
                <w:sz w:val="20"/>
                <w:szCs w:val="20"/>
              </w:rPr>
            </w:pPr>
            <w:r w:rsidRPr="005D75FF">
              <w:rPr>
                <w:rFonts w:ascii="Candara" w:eastAsia="MS Gothic" w:hAnsi="Candara" w:cs="Times New Roman"/>
                <w:bCs/>
                <w:sz w:val="20"/>
                <w:szCs w:val="20"/>
              </w:rPr>
              <w:t>Chieftaincy Act (2008)</w:t>
            </w:r>
          </w:p>
        </w:tc>
      </w:tr>
    </w:tbl>
    <w:p w14:paraId="21D5B49A" w14:textId="77777777" w:rsidR="00D75BE8" w:rsidRPr="00D75BE8" w:rsidRDefault="00D75BE8" w:rsidP="00D75BE8">
      <w:pPr>
        <w:spacing w:after="160" w:line="259" w:lineRule="auto"/>
        <w:jc w:val="left"/>
        <w:rPr>
          <w:rFonts w:ascii="Calibri" w:eastAsia="Calibri" w:hAnsi="Calibri" w:cs="Arial"/>
          <w:szCs w:val="22"/>
          <w:lang w:bidi="he-IL"/>
        </w:rPr>
      </w:pPr>
    </w:p>
    <w:p w14:paraId="57ECCA18" w14:textId="77777777" w:rsidR="00D75BE8" w:rsidRPr="00D75BE8" w:rsidRDefault="00D75BE8" w:rsidP="00D75BE8">
      <w:pPr>
        <w:spacing w:after="160" w:line="259" w:lineRule="auto"/>
        <w:jc w:val="left"/>
        <w:rPr>
          <w:rFonts w:ascii="Calibri" w:eastAsia="Calibri" w:hAnsi="Calibri" w:cs="Arial"/>
          <w:szCs w:val="22"/>
          <w:lang w:bidi="he-IL"/>
        </w:rPr>
      </w:pPr>
    </w:p>
    <w:p w14:paraId="3211D156" w14:textId="77777777" w:rsidR="00D75BE8" w:rsidRPr="00D75BE8" w:rsidRDefault="00D75BE8" w:rsidP="00D75BE8">
      <w:pPr>
        <w:jc w:val="center"/>
        <w:rPr>
          <w:rFonts w:ascii="Candara" w:eastAsia="MS Gothic" w:hAnsi="Candara" w:cs="Times New Roman"/>
          <w:b/>
          <w:i/>
          <w:color w:val="000000"/>
          <w:sz w:val="20"/>
          <w:szCs w:val="20"/>
        </w:rPr>
      </w:pPr>
      <w:r w:rsidRPr="00D75BE8">
        <w:rPr>
          <w:rFonts w:ascii="Candara" w:eastAsia="MS Gothic" w:hAnsi="Candara" w:cs="Times New Roman"/>
          <w:b/>
          <w:i/>
          <w:color w:val="000000"/>
          <w:sz w:val="20"/>
          <w:szCs w:val="20"/>
        </w:rPr>
        <w:t>UNFCCC REDD+ safeguard (C):</w:t>
      </w:r>
    </w:p>
    <w:p w14:paraId="7098A92E" w14:textId="77777777" w:rsidR="00D75BE8" w:rsidRPr="00D75BE8" w:rsidRDefault="00D75BE8" w:rsidP="00D75BE8">
      <w:pPr>
        <w:spacing w:after="240"/>
        <w:ind w:left="720"/>
        <w:jc w:val="center"/>
        <w:rPr>
          <w:rFonts w:ascii="Candara" w:eastAsia="MS Gothic" w:hAnsi="Candara" w:cs="Helvetica"/>
          <w:b/>
          <w:i/>
          <w:color w:val="000000"/>
          <w:sz w:val="20"/>
          <w:szCs w:val="20"/>
          <w:lang w:val="en-CA"/>
        </w:rPr>
      </w:pPr>
      <w:r w:rsidRPr="00D75BE8">
        <w:rPr>
          <w:rFonts w:ascii="Candara" w:eastAsia="MS Gothic" w:hAnsi="Candara" w:cs="Times New Roman"/>
          <w:b/>
          <w:i/>
          <w:color w:val="000000"/>
          <w:sz w:val="20"/>
          <w:szCs w:val="20"/>
        </w:rPr>
        <w:t>“</w:t>
      </w:r>
      <w:r w:rsidRPr="00D75BE8">
        <w:rPr>
          <w:rFonts w:ascii="Candara" w:eastAsia="MS Gothic" w:hAnsi="Candara" w:cs="Helvetica"/>
          <w:b/>
          <w:i/>
          <w:color w:val="000000"/>
          <w:sz w:val="20"/>
          <w:szCs w:val="20"/>
          <w:lang w:val="en-CA"/>
        </w:rPr>
        <w:t>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w:t>
      </w:r>
    </w:p>
    <w:p w14:paraId="16A1A1D4" w14:textId="28DB7F54" w:rsidR="00D75BE8" w:rsidRPr="00D75BE8" w:rsidRDefault="00E652A7" w:rsidP="00C21316">
      <w:pPr>
        <w:spacing w:after="160" w:line="259" w:lineRule="auto"/>
        <w:rPr>
          <w:rFonts w:ascii="Calibri" w:eastAsia="Calibri" w:hAnsi="Calibri" w:cs="Arial"/>
        </w:rPr>
      </w:pPr>
      <w:r>
        <w:rPr>
          <w:rFonts w:ascii="Calibri" w:eastAsia="Calibri" w:hAnsi="Calibri" w:cs="Arial"/>
          <w:szCs w:val="22"/>
          <w:lang w:val="en-CA" w:bidi="he-IL"/>
        </w:rPr>
        <w:t>It</w:t>
      </w:r>
      <w:r w:rsidR="00D75BE8" w:rsidRPr="00D75BE8">
        <w:rPr>
          <w:rFonts w:ascii="Calibri" w:eastAsia="Calibri" w:hAnsi="Calibri" w:cs="Arial"/>
          <w:szCs w:val="22"/>
          <w:lang w:val="en-CA" w:bidi="he-IL"/>
        </w:rPr>
        <w:t xml:space="preserve"> is important to highlight that Ghanaian laws do not recognize the concept of ‘indigenous people’ as understood in International Law, as there are no ‘indigenous peoples’ in Ghana. However, </w:t>
      </w:r>
      <w:r w:rsidR="00D75BE8" w:rsidRPr="00D75BE8">
        <w:rPr>
          <w:rFonts w:ascii="Calibri" w:eastAsia="Calibri" w:hAnsi="Calibri" w:cs="Arial"/>
          <w:szCs w:val="22"/>
        </w:rPr>
        <w:t>the Constitution of Ghana recognises the existence of local communities and acknowledge that these communities are governed by customary laws that are peculiar to them alone</w:t>
      </w:r>
      <w:r w:rsidR="009B2629">
        <w:rPr>
          <w:rFonts w:ascii="Calibri" w:eastAsia="Calibri" w:hAnsi="Calibri" w:cs="Arial"/>
          <w:szCs w:val="22"/>
        </w:rPr>
        <w:t xml:space="preserve">. </w:t>
      </w:r>
      <w:r w:rsidR="00D75BE8" w:rsidRPr="00D75BE8">
        <w:rPr>
          <w:rFonts w:ascii="Calibri" w:eastAsia="Calibri" w:hAnsi="Calibri" w:cs="Arial"/>
          <w:szCs w:val="22"/>
        </w:rPr>
        <w:t xml:space="preserve">In addition, </w:t>
      </w:r>
      <w:r w:rsidR="00D75BE8" w:rsidRPr="00D75BE8">
        <w:rPr>
          <w:rFonts w:ascii="Calibri" w:eastAsia="Calibri" w:hAnsi="Calibri" w:cs="Arial"/>
        </w:rPr>
        <w:t xml:space="preserve">the concept of traditional knowledge of local communities is recognised in Ghana’s legal framework (though it is not defined). Traditional authorities in Ghana are deemed to be the custodians, interpreters and enforcers of customs and usages of local communities, with </w:t>
      </w:r>
      <w:r w:rsidR="00D75BE8" w:rsidRPr="00D75BE8">
        <w:rPr>
          <w:rFonts w:ascii="Calibri" w:eastAsia="Calibri" w:hAnsi="Calibri" w:cs="Arial"/>
          <w:szCs w:val="22"/>
          <w:lang w:val="en-CA" w:bidi="he-IL"/>
        </w:rPr>
        <w:t>Constitutional and statutory provisions combining to define the mechanisms for the sharing of the benefits arising out of the utilization of forest resources in a fair manner.</w:t>
      </w:r>
    </w:p>
    <w:p w14:paraId="51C9F351" w14:textId="77777777" w:rsidR="00D75BE8" w:rsidRPr="00D75BE8" w:rsidRDefault="00D75BE8" w:rsidP="00D75BE8">
      <w:pPr>
        <w:rPr>
          <w:rFonts w:ascii="Calibri" w:eastAsia="Calibri" w:hAnsi="Calibri" w:cs="Arial"/>
        </w:rPr>
      </w:pPr>
      <w:r w:rsidRPr="00D75BE8">
        <w:rPr>
          <w:rFonts w:ascii="Calibri" w:eastAsia="Calibri" w:hAnsi="Calibri" w:cs="Arial"/>
        </w:rPr>
        <w:t xml:space="preserve">The Constitution provides other general rights to enjoy, practice, profess, maintain and promote any culture, language, tradition or religion and the right to be protected from discrimination on grounds of gender, race, colour, ethnic origin, religion, creed or social or economic status. </w:t>
      </w:r>
    </w:p>
    <w:p w14:paraId="4B885832" w14:textId="77777777" w:rsidR="00D75BE8" w:rsidRPr="00D75BE8" w:rsidRDefault="00D75BE8" w:rsidP="00D75BE8">
      <w:pPr>
        <w:rPr>
          <w:rFonts w:ascii="Calibri" w:eastAsia="Calibri" w:hAnsi="Calibri" w:cs="Arial"/>
        </w:rPr>
      </w:pPr>
    </w:p>
    <w:p w14:paraId="48AC53F9" w14:textId="3B1B8640" w:rsidR="00D75BE8" w:rsidRPr="00D75BE8" w:rsidRDefault="00D75BE8" w:rsidP="00D75BE8">
      <w:pPr>
        <w:rPr>
          <w:rFonts w:ascii="Calibri" w:eastAsia="Calibri" w:hAnsi="Calibri" w:cs="Arial"/>
        </w:rPr>
      </w:pPr>
      <w:r w:rsidRPr="00D75BE8">
        <w:rPr>
          <w:rFonts w:ascii="Calibri" w:eastAsia="Calibri" w:hAnsi="Calibri" w:cs="Arial"/>
        </w:rPr>
        <w:t xml:space="preserve">Therefore, PLRs respect and uphold the identity, customs traditions and institutions of communities, without granting any specific rights to local communities as distinct from the rights enjoyed by any other citizen simply by virtue of them belonging to a </w:t>
      </w:r>
      <w:r w:rsidR="002752EB">
        <w:rPr>
          <w:rFonts w:ascii="Calibri" w:eastAsia="Calibri" w:hAnsi="Calibri" w:cs="Arial"/>
        </w:rPr>
        <w:t xml:space="preserve">particular </w:t>
      </w:r>
      <w:r w:rsidRPr="00D75BE8">
        <w:rPr>
          <w:rFonts w:ascii="Calibri" w:eastAsia="Calibri" w:hAnsi="Calibri" w:cs="Arial"/>
        </w:rPr>
        <w:t xml:space="preserve">local community. </w:t>
      </w:r>
      <w:r w:rsidRPr="00D75BE8">
        <w:rPr>
          <w:rFonts w:ascii="Calibri" w:eastAsia="Calibri" w:hAnsi="Calibri" w:cs="Times"/>
          <w:szCs w:val="22"/>
        </w:rPr>
        <w:t xml:space="preserve">As for self-determination, </w:t>
      </w:r>
      <w:r w:rsidRPr="00D75BE8">
        <w:rPr>
          <w:rFonts w:ascii="Calibri" w:eastAsia="Calibri" w:hAnsi="Calibri" w:cs="Arial"/>
          <w:szCs w:val="22"/>
        </w:rPr>
        <w:t>traditional authorities, such as the national and regional House of Chiefs and traditional councils are officially recognised and have a degree of autonomy, including in terms of arbitration. Certain collective rights, such as timber rights, are also recognised.</w:t>
      </w:r>
      <w:r w:rsidRPr="00D75BE8">
        <w:rPr>
          <w:rFonts w:ascii="Calibri" w:eastAsia="Calibri" w:hAnsi="Calibri" w:cs="Arial"/>
        </w:rPr>
        <w:t xml:space="preserve"> </w:t>
      </w:r>
    </w:p>
    <w:p w14:paraId="161E612F" w14:textId="77777777" w:rsidR="00D75BE8" w:rsidRPr="00D75BE8" w:rsidRDefault="00D75BE8" w:rsidP="00D75BE8">
      <w:pPr>
        <w:rPr>
          <w:rFonts w:ascii="Calibri" w:eastAsia="Calibri" w:hAnsi="Calibri" w:cs="Arial"/>
          <w:szCs w:val="22"/>
        </w:rPr>
      </w:pPr>
    </w:p>
    <w:p w14:paraId="268306DE" w14:textId="77777777" w:rsidR="00D75BE8" w:rsidRPr="00D75BE8" w:rsidRDefault="00D75BE8" w:rsidP="00D75BE8">
      <w:pPr>
        <w:rPr>
          <w:rFonts w:ascii="Calibri" w:eastAsia="Calibri" w:hAnsi="Calibri" w:cs="Arial"/>
        </w:rPr>
      </w:pPr>
      <w:r w:rsidRPr="00D75BE8">
        <w:rPr>
          <w:rFonts w:ascii="Calibri" w:eastAsia="Calibri" w:hAnsi="Calibri" w:cs="Arial"/>
          <w:szCs w:val="22"/>
        </w:rPr>
        <w:t xml:space="preserve"> </w:t>
      </w:r>
    </w:p>
    <w:tbl>
      <w:tblPr>
        <w:tblpPr w:leftFromText="180" w:rightFromText="180" w:vertAnchor="text" w:tblpX="69" w:tblpY="1"/>
        <w:tblOverlap w:val="neve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11EB9" w:rsidRPr="00D75BE8" w14:paraId="4E7C9BF9" w14:textId="77777777" w:rsidTr="00C21316">
        <w:trPr>
          <w:trHeight w:val="364"/>
        </w:trPr>
        <w:tc>
          <w:tcPr>
            <w:tcW w:w="5000" w:type="pct"/>
            <w:shd w:val="clear" w:color="auto" w:fill="AA97E4"/>
          </w:tcPr>
          <w:p w14:paraId="411E9D12" w14:textId="77777777" w:rsidR="00D11EB9" w:rsidRPr="00D75BE8" w:rsidRDefault="00D11EB9" w:rsidP="00D75BE8">
            <w:pPr>
              <w:spacing w:after="200" w:line="252" w:lineRule="auto"/>
              <w:rPr>
                <w:rFonts w:ascii="Candara" w:eastAsia="MS Gothic" w:hAnsi="Candara" w:cs="Times New Roman"/>
                <w:color w:val="FFFFFF"/>
                <w:sz w:val="20"/>
                <w:szCs w:val="20"/>
              </w:rPr>
            </w:pPr>
            <w:r w:rsidRPr="00D75BE8">
              <w:rPr>
                <w:rFonts w:ascii="Candara" w:eastAsia="MS Gothic" w:hAnsi="Candara" w:cs="Times New Roman"/>
                <w:color w:val="FFFFFF"/>
                <w:sz w:val="20"/>
                <w:szCs w:val="20"/>
              </w:rPr>
              <w:t>List of relevant Policies, Laws and Regulations</w:t>
            </w:r>
          </w:p>
        </w:tc>
      </w:tr>
      <w:tr w:rsidR="00D11EB9" w:rsidRPr="00D75BE8" w14:paraId="2285A13E" w14:textId="77777777" w:rsidTr="00C21316">
        <w:trPr>
          <w:trHeight w:val="1340"/>
        </w:trPr>
        <w:tc>
          <w:tcPr>
            <w:tcW w:w="5000" w:type="pct"/>
          </w:tcPr>
          <w:p w14:paraId="154F0AD2" w14:textId="77777777" w:rsidR="00D11EB9" w:rsidRPr="00C21316" w:rsidRDefault="00D11EB9" w:rsidP="0039326F">
            <w:pPr>
              <w:numPr>
                <w:ilvl w:val="0"/>
                <w:numId w:val="15"/>
              </w:numPr>
              <w:spacing w:after="200" w:line="252" w:lineRule="auto"/>
              <w:contextualSpacing/>
              <w:jc w:val="left"/>
              <w:rPr>
                <w:rFonts w:ascii="Calibri" w:eastAsia="MS Gothic" w:hAnsi="Calibri" w:cs="Calibri"/>
                <w:b/>
                <w:sz w:val="20"/>
                <w:szCs w:val="20"/>
              </w:rPr>
            </w:pPr>
            <w:r w:rsidRPr="00C21316">
              <w:rPr>
                <w:rFonts w:ascii="Calibri" w:eastAsia="MS Gothic" w:hAnsi="Calibri" w:cs="Calibri"/>
                <w:bCs/>
                <w:sz w:val="20"/>
                <w:szCs w:val="20"/>
              </w:rPr>
              <w:lastRenderedPageBreak/>
              <w:t>The Constitution of the Republic of Ghana (1992)</w:t>
            </w:r>
          </w:p>
          <w:p w14:paraId="145ECE11" w14:textId="77777777" w:rsidR="00D11EB9" w:rsidRPr="00C21316" w:rsidRDefault="00D11EB9" w:rsidP="0039326F">
            <w:pPr>
              <w:numPr>
                <w:ilvl w:val="0"/>
                <w:numId w:val="15"/>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Timber Resource Management Regulation (2002)</w:t>
            </w:r>
          </w:p>
          <w:p w14:paraId="1414295C" w14:textId="77777777" w:rsidR="00D11EB9" w:rsidRPr="00C21316" w:rsidRDefault="00D11EB9" w:rsidP="0039326F">
            <w:pPr>
              <w:numPr>
                <w:ilvl w:val="0"/>
                <w:numId w:val="15"/>
              </w:numPr>
              <w:spacing w:after="200" w:line="252" w:lineRule="auto"/>
              <w:contextualSpacing/>
              <w:jc w:val="left"/>
              <w:rPr>
                <w:rFonts w:ascii="Calibri" w:eastAsia="MS Gothic" w:hAnsi="Calibri" w:cs="Calibri"/>
                <w:b/>
                <w:sz w:val="20"/>
                <w:szCs w:val="20"/>
              </w:rPr>
            </w:pPr>
            <w:r w:rsidRPr="00C21316">
              <w:rPr>
                <w:rFonts w:ascii="Calibri" w:eastAsia="MS Gothic" w:hAnsi="Calibri" w:cs="Calibri"/>
                <w:bCs/>
                <w:sz w:val="20"/>
                <w:szCs w:val="20"/>
              </w:rPr>
              <w:t>Timber Resource Management (amendment) Regulation (2003)</w:t>
            </w:r>
          </w:p>
          <w:p w14:paraId="1A8F4EB9" w14:textId="77777777" w:rsidR="00D11EB9" w:rsidRPr="00C21316" w:rsidRDefault="00D11EB9" w:rsidP="0039326F">
            <w:pPr>
              <w:numPr>
                <w:ilvl w:val="0"/>
                <w:numId w:val="15"/>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 xml:space="preserve">The Chieftaincy Act (2008) </w:t>
            </w:r>
          </w:p>
          <w:p w14:paraId="5168BD34" w14:textId="454F9EE3" w:rsidR="00D11EB9" w:rsidRPr="00C21316" w:rsidRDefault="00D11EB9" w:rsidP="0039326F">
            <w:pPr>
              <w:numPr>
                <w:ilvl w:val="0"/>
                <w:numId w:val="15"/>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Alternative Dispute Resolution Act (2008)</w:t>
            </w:r>
          </w:p>
          <w:p w14:paraId="437F5FEF" w14:textId="77777777" w:rsidR="00D11EB9" w:rsidRPr="00C21316" w:rsidRDefault="00D11EB9" w:rsidP="0039326F">
            <w:pPr>
              <w:numPr>
                <w:ilvl w:val="0"/>
                <w:numId w:val="15"/>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Administration of the Lands Act (1963)</w:t>
            </w:r>
          </w:p>
          <w:p w14:paraId="08903A2E" w14:textId="77777777" w:rsidR="00D11EB9" w:rsidRPr="00C21316" w:rsidRDefault="00D11EB9" w:rsidP="0039326F">
            <w:pPr>
              <w:numPr>
                <w:ilvl w:val="0"/>
                <w:numId w:val="15"/>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Office of the Administrator of Stool Lands Act (1994)</w:t>
            </w:r>
          </w:p>
          <w:p w14:paraId="64837753" w14:textId="0F5A792D" w:rsidR="00D11EB9" w:rsidRPr="00D75BE8" w:rsidRDefault="00D11EB9" w:rsidP="00C21316">
            <w:pPr>
              <w:spacing w:after="200" w:line="252" w:lineRule="auto"/>
              <w:ind w:left="360"/>
              <w:contextualSpacing/>
              <w:jc w:val="left"/>
              <w:rPr>
                <w:rFonts w:ascii="Calibri" w:eastAsia="MS Gothic" w:hAnsi="Calibri" w:cs="Calibri"/>
                <w:b/>
                <w:szCs w:val="22"/>
              </w:rPr>
            </w:pPr>
          </w:p>
        </w:tc>
      </w:tr>
    </w:tbl>
    <w:p w14:paraId="7B878530" w14:textId="77777777" w:rsidR="00D75BE8" w:rsidRPr="00D75BE8" w:rsidRDefault="00D75BE8" w:rsidP="00D75BE8">
      <w:pPr>
        <w:rPr>
          <w:rFonts w:ascii="Calibri" w:eastAsia="Calibri" w:hAnsi="Calibri" w:cs="Arial"/>
        </w:rPr>
      </w:pPr>
    </w:p>
    <w:p w14:paraId="3F769425" w14:textId="77777777" w:rsidR="00D75BE8" w:rsidRPr="00D75BE8" w:rsidRDefault="00D75BE8" w:rsidP="00D75BE8">
      <w:pPr>
        <w:jc w:val="center"/>
        <w:rPr>
          <w:rFonts w:ascii="Calibri" w:eastAsia="Calibri" w:hAnsi="Calibri" w:cs="Arial"/>
        </w:rPr>
      </w:pPr>
    </w:p>
    <w:p w14:paraId="431E2BFA" w14:textId="77777777" w:rsidR="00D75BE8" w:rsidRPr="00D75BE8" w:rsidRDefault="00D75BE8" w:rsidP="00D75BE8">
      <w:pPr>
        <w:jc w:val="center"/>
        <w:rPr>
          <w:rFonts w:ascii="Candara" w:eastAsia="MS Gothic" w:hAnsi="Candara" w:cs="Times New Roman"/>
          <w:b/>
          <w:i/>
          <w:color w:val="000000"/>
          <w:sz w:val="20"/>
          <w:szCs w:val="20"/>
        </w:rPr>
      </w:pPr>
      <w:r w:rsidRPr="00D75BE8">
        <w:rPr>
          <w:rFonts w:ascii="Candara" w:eastAsia="MS Gothic" w:hAnsi="Candara" w:cs="Times New Roman"/>
          <w:b/>
          <w:i/>
          <w:color w:val="000000"/>
          <w:sz w:val="20"/>
          <w:szCs w:val="20"/>
        </w:rPr>
        <w:t>UNFCCC REDD+ safeguard (D):</w:t>
      </w:r>
    </w:p>
    <w:p w14:paraId="7789FC2B" w14:textId="77777777" w:rsidR="00D75BE8" w:rsidRPr="00D75BE8" w:rsidRDefault="00D75BE8" w:rsidP="00D75BE8">
      <w:pPr>
        <w:jc w:val="center"/>
        <w:rPr>
          <w:rFonts w:ascii="Candara" w:eastAsia="MS Gothic" w:hAnsi="Candara" w:cs="Helvetica"/>
          <w:b/>
          <w:i/>
          <w:color w:val="000000"/>
          <w:sz w:val="20"/>
          <w:szCs w:val="20"/>
          <w:lang w:val="en-CA"/>
        </w:rPr>
      </w:pPr>
      <w:r w:rsidRPr="00D75BE8">
        <w:rPr>
          <w:rFonts w:ascii="Candara" w:eastAsia="MS Gothic" w:hAnsi="Candara" w:cs="Times New Roman"/>
          <w:b/>
          <w:i/>
          <w:color w:val="000000"/>
          <w:sz w:val="20"/>
          <w:szCs w:val="20"/>
        </w:rPr>
        <w:t>“</w:t>
      </w:r>
      <w:r w:rsidRPr="00D75BE8">
        <w:rPr>
          <w:rFonts w:ascii="Candara" w:eastAsia="MS Gothic" w:hAnsi="Candara" w:cs="Helvetica"/>
          <w:b/>
          <w:i/>
          <w:color w:val="000000"/>
          <w:sz w:val="20"/>
          <w:szCs w:val="20"/>
          <w:lang w:val="en-CA"/>
        </w:rPr>
        <w:t>The full and effective participation of relevant stakeholders, in particular indigenous peoples and local communities;”</w:t>
      </w:r>
    </w:p>
    <w:p w14:paraId="2670BE1A" w14:textId="77777777" w:rsidR="00D75BE8" w:rsidRPr="00D75BE8" w:rsidRDefault="00D75BE8" w:rsidP="00D75BE8">
      <w:pPr>
        <w:jc w:val="left"/>
        <w:rPr>
          <w:rFonts w:ascii="Calibri" w:eastAsia="Calibri" w:hAnsi="Calibri" w:cs="Arial"/>
        </w:rPr>
      </w:pPr>
    </w:p>
    <w:p w14:paraId="4E39C283" w14:textId="77777777" w:rsidR="00D75BE8" w:rsidRPr="00E652A7" w:rsidRDefault="00D75BE8" w:rsidP="00C21316">
      <w:pPr>
        <w:rPr>
          <w:rFonts w:ascii="Calibri" w:eastAsia="Calibri" w:hAnsi="Calibri" w:cs="Arial"/>
        </w:rPr>
      </w:pPr>
      <w:r w:rsidRPr="00D75BE8">
        <w:rPr>
          <w:rFonts w:ascii="Calibri" w:eastAsia="Calibri" w:hAnsi="Calibri" w:cs="Arial"/>
        </w:rPr>
        <w:t xml:space="preserve">The Constitution recognises and guarantees generally, the public’s </w:t>
      </w:r>
      <w:r w:rsidRPr="00D75BE8">
        <w:rPr>
          <w:rFonts w:ascii="Calibri" w:eastAsia="Calibri" w:hAnsi="Calibri" w:cs="Arial"/>
          <w:i/>
          <w:iCs/>
          <w:u w:val="single"/>
        </w:rPr>
        <w:t>right to participate</w:t>
      </w:r>
      <w:r w:rsidRPr="00D75BE8">
        <w:rPr>
          <w:rFonts w:ascii="Calibri" w:eastAsia="Calibri" w:hAnsi="Calibri" w:cs="Arial"/>
        </w:rPr>
        <w:t xml:space="preserve"> in policy making. The Ministry of Lands and Natural Resources (MLNR) and Civil Society Organisations (CSOs) have over the years, used the rights as a basis to demand to participate in decision-making in the forestry sector. There is also an intention on the part of the Government, to improve participation through the future enactment of legislation </w:t>
      </w:r>
      <w:r w:rsidRPr="00E652A7">
        <w:rPr>
          <w:rFonts w:ascii="Calibri" w:eastAsia="Calibri" w:hAnsi="Calibri" w:cs="Arial"/>
        </w:rPr>
        <w:t>and regulations to facilitate and enhance local participation and control through decentralisation of forestry operations at the district level.</w:t>
      </w:r>
      <w:r w:rsidRPr="00E652A7">
        <w:rPr>
          <w:rFonts w:ascii="Calibri" w:eastAsia="Calibri" w:hAnsi="Calibri" w:cs="Arial"/>
          <w:vertAlign w:val="superscript"/>
        </w:rPr>
        <w:t xml:space="preserve"> </w:t>
      </w:r>
      <w:r w:rsidRPr="00E652A7">
        <w:rPr>
          <w:rFonts w:ascii="Calibri" w:eastAsia="Calibri" w:hAnsi="Calibri" w:cs="Arial"/>
          <w:vertAlign w:val="superscript"/>
        </w:rPr>
        <w:footnoteReference w:id="99"/>
      </w:r>
      <w:r w:rsidRPr="00E652A7">
        <w:rPr>
          <w:rFonts w:ascii="Calibri" w:eastAsia="Calibri" w:hAnsi="Calibri" w:cs="Arial"/>
        </w:rPr>
        <w:t xml:space="preserve">  </w:t>
      </w:r>
    </w:p>
    <w:p w14:paraId="7633127C" w14:textId="77777777" w:rsidR="00E652A7" w:rsidRPr="00C21316" w:rsidRDefault="00E652A7" w:rsidP="00C21316">
      <w:pPr>
        <w:rPr>
          <w:rFonts w:ascii="Calibri" w:eastAsia="Calibri" w:hAnsi="Calibri" w:cs="Arial"/>
        </w:rPr>
      </w:pPr>
    </w:p>
    <w:p w14:paraId="18E7F7FB" w14:textId="61AE48FE" w:rsidR="00D75BE8" w:rsidRPr="00C21316" w:rsidRDefault="00D75BE8" w:rsidP="00C21316">
      <w:pPr>
        <w:rPr>
          <w:rFonts w:ascii="Calibri" w:eastAsia="Calibri" w:hAnsi="Calibri" w:cs="Arial"/>
        </w:rPr>
      </w:pPr>
      <w:r w:rsidRPr="00C21316">
        <w:rPr>
          <w:rFonts w:ascii="Calibri" w:eastAsia="Calibri" w:hAnsi="Calibri" w:cs="Arial"/>
        </w:rPr>
        <w:t>PLRs provide dispute resolution mechanisms that are equitable, transparent, accountable, independent, confidential and affordable (or free) and that respect customary justice systems. Traditionally, Ghana has the National and Regional Houses of Chiefs that take care of disputes in the local communities, in addition to a system of customary arbitration.</w:t>
      </w:r>
      <w:r w:rsidRPr="00C21316">
        <w:rPr>
          <w:rFonts w:ascii="Calibri" w:eastAsia="Calibri" w:hAnsi="Calibri" w:cs="Arial"/>
          <w:vertAlign w:val="superscript"/>
        </w:rPr>
        <w:footnoteReference w:id="100"/>
      </w:r>
    </w:p>
    <w:p w14:paraId="16210A3D" w14:textId="77777777" w:rsidR="00D75BE8" w:rsidRPr="00D75BE8" w:rsidRDefault="00D75BE8" w:rsidP="00C21316">
      <w:pPr>
        <w:rPr>
          <w:rFonts w:ascii="Calibri" w:eastAsia="Calibri" w:hAnsi="Calibri" w:cs="Arial"/>
        </w:rPr>
      </w:pPr>
    </w:p>
    <w:p w14:paraId="0C928687" w14:textId="77777777" w:rsidR="00D75BE8" w:rsidRPr="00D75BE8" w:rsidRDefault="00D75BE8" w:rsidP="00C21316">
      <w:pPr>
        <w:rPr>
          <w:rFonts w:ascii="Calibri" w:eastAsia="Calibri" w:hAnsi="Calibri" w:cs="Arial"/>
        </w:rPr>
      </w:pPr>
    </w:p>
    <w:p w14:paraId="6C3F9DA4" w14:textId="54BAD45D" w:rsidR="00D75BE8" w:rsidRPr="00D75BE8" w:rsidRDefault="00D75BE8" w:rsidP="00C21316">
      <w:pPr>
        <w:spacing w:after="160" w:line="259" w:lineRule="auto"/>
        <w:rPr>
          <w:rFonts w:ascii="Calibri" w:eastAsia="Calibri" w:hAnsi="Calibri" w:cs="Arial"/>
          <w:szCs w:val="22"/>
          <w:lang w:bidi="he-IL"/>
        </w:rPr>
      </w:pPr>
      <w:r w:rsidRPr="00D75BE8">
        <w:rPr>
          <w:rFonts w:ascii="Calibri" w:eastAsia="Calibri" w:hAnsi="Calibri" w:cs="Arial"/>
          <w:szCs w:val="22"/>
          <w:lang w:bidi="he-IL"/>
        </w:rPr>
        <w:t xml:space="preserve">Ghana’s legal framework also recognises and defines clear </w:t>
      </w:r>
      <w:r w:rsidRPr="00D75BE8">
        <w:rPr>
          <w:rFonts w:ascii="Calibri" w:eastAsia="Calibri" w:hAnsi="Calibri" w:cs="Arial"/>
          <w:i/>
          <w:iCs/>
          <w:szCs w:val="22"/>
          <w:u w:val="single"/>
          <w:lang w:bidi="he-IL"/>
        </w:rPr>
        <w:t>mechanisms and procedures for public participation</w:t>
      </w:r>
      <w:r w:rsidRPr="00D75BE8">
        <w:rPr>
          <w:rFonts w:ascii="Calibri" w:eastAsia="Calibri" w:hAnsi="Calibri" w:cs="Arial"/>
          <w:szCs w:val="22"/>
          <w:lang w:bidi="he-IL"/>
        </w:rPr>
        <w:t xml:space="preserve"> in limited circumstances, namely in the context of Environmental Impact Assessments and the granting of timber extraction contracts through the instrumentality of Public Hearings.</w:t>
      </w:r>
      <w:r w:rsidRPr="00D75BE8">
        <w:rPr>
          <w:rFonts w:ascii="Calibri" w:eastAsia="Calibri" w:hAnsi="Calibri" w:cs="Arial"/>
          <w:szCs w:val="22"/>
          <w:vertAlign w:val="superscript"/>
          <w:lang w:bidi="he-IL"/>
        </w:rPr>
        <w:footnoteReference w:id="101"/>
      </w:r>
      <w:r w:rsidRPr="00D75BE8">
        <w:rPr>
          <w:rFonts w:ascii="Calibri" w:eastAsia="Calibri" w:hAnsi="Calibri" w:cs="Arial"/>
          <w:szCs w:val="22"/>
          <w:lang w:bidi="he-IL"/>
        </w:rPr>
        <w:t xml:space="preserve"> In these circumstances, relevant stakeholders are defined,</w:t>
      </w:r>
      <w:r w:rsidRPr="00D75BE8">
        <w:rPr>
          <w:rFonts w:ascii="Calibri" w:eastAsia="Calibri" w:hAnsi="Calibri" w:cs="Arial"/>
          <w:szCs w:val="22"/>
          <w:vertAlign w:val="superscript"/>
          <w:lang w:bidi="he-IL"/>
        </w:rPr>
        <w:footnoteReference w:id="102"/>
      </w:r>
      <w:r w:rsidRPr="00D75BE8">
        <w:rPr>
          <w:rFonts w:ascii="Calibri" w:eastAsia="Calibri" w:hAnsi="Calibri" w:cs="Arial"/>
          <w:szCs w:val="22"/>
          <w:lang w:bidi="he-IL"/>
        </w:rPr>
        <w:t>, the Timber Resources Management (Legality Licensing) Regulations and the Environmental Assessments Regulations.</w:t>
      </w:r>
      <w:r w:rsidRPr="00D75BE8">
        <w:rPr>
          <w:rFonts w:ascii="Calibri" w:eastAsia="Calibri" w:hAnsi="Calibri" w:cs="Arial"/>
          <w:bCs/>
          <w:color w:val="000000"/>
          <w:spacing w:val="-4"/>
          <w:szCs w:val="22"/>
          <w:lang w:bidi="he-IL"/>
        </w:rPr>
        <w:t xml:space="preserve"> </w:t>
      </w:r>
      <w:r w:rsidRPr="00D75BE8">
        <w:rPr>
          <w:rFonts w:ascii="Calibri" w:eastAsia="Calibri" w:hAnsi="Calibri" w:cs="Arial"/>
          <w:szCs w:val="22"/>
          <w:lang w:bidi="he-IL"/>
        </w:rPr>
        <w:t>PLRs in Ghana also provide for the engagement or representation of local communities in forest decision making processes.</w:t>
      </w:r>
      <w:r w:rsidRPr="00D75BE8">
        <w:rPr>
          <w:rFonts w:ascii="Calibri" w:eastAsia="Calibri" w:hAnsi="Calibri" w:cs="Arial"/>
          <w:szCs w:val="22"/>
          <w:vertAlign w:val="superscript"/>
          <w:lang w:bidi="he-IL"/>
        </w:rPr>
        <w:footnoteReference w:id="103"/>
      </w:r>
      <w:r w:rsidRPr="00D75BE8">
        <w:rPr>
          <w:rFonts w:ascii="Calibri" w:eastAsia="Calibri" w:hAnsi="Calibri" w:cs="Arial"/>
          <w:szCs w:val="22"/>
          <w:lang w:bidi="he-I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E652A7" w:rsidRPr="00D75BE8" w14:paraId="14CDC51D" w14:textId="77777777" w:rsidTr="00C21316">
        <w:trPr>
          <w:trHeight w:val="364"/>
        </w:trPr>
        <w:tc>
          <w:tcPr>
            <w:tcW w:w="5000" w:type="pct"/>
            <w:shd w:val="clear" w:color="auto" w:fill="AA97E4"/>
          </w:tcPr>
          <w:p w14:paraId="20AFD6BD" w14:textId="77777777" w:rsidR="00E652A7" w:rsidRPr="00D75BE8" w:rsidRDefault="00E652A7" w:rsidP="00D75BE8">
            <w:pPr>
              <w:spacing w:after="200" w:line="252" w:lineRule="auto"/>
              <w:rPr>
                <w:rFonts w:ascii="Candara" w:eastAsia="MS Gothic" w:hAnsi="Candara" w:cs="Times New Roman"/>
                <w:color w:val="FFFFFF"/>
                <w:sz w:val="20"/>
                <w:szCs w:val="20"/>
              </w:rPr>
            </w:pPr>
            <w:r w:rsidRPr="00D75BE8">
              <w:rPr>
                <w:rFonts w:ascii="Candara" w:eastAsia="MS Gothic" w:hAnsi="Candara" w:cs="Times New Roman"/>
                <w:color w:val="FFFFFF"/>
                <w:sz w:val="20"/>
                <w:szCs w:val="20"/>
              </w:rPr>
              <w:t>List of Relevant Policies, Laws and Regulation.</w:t>
            </w:r>
          </w:p>
        </w:tc>
      </w:tr>
      <w:tr w:rsidR="00E652A7" w:rsidRPr="00D75BE8" w14:paraId="50118944" w14:textId="77777777" w:rsidTr="00C21316">
        <w:trPr>
          <w:trHeight w:val="1178"/>
        </w:trPr>
        <w:tc>
          <w:tcPr>
            <w:tcW w:w="5000" w:type="pct"/>
          </w:tcPr>
          <w:p w14:paraId="4AD351E2" w14:textId="77777777" w:rsidR="00E652A7" w:rsidRPr="00C21316" w:rsidRDefault="00E652A7" w:rsidP="0039326F">
            <w:pPr>
              <w:numPr>
                <w:ilvl w:val="0"/>
                <w:numId w:val="16"/>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The Constitution of the Republic of Ghana (1992)</w:t>
            </w:r>
          </w:p>
          <w:p w14:paraId="27F923D2" w14:textId="77777777" w:rsidR="00E652A7" w:rsidRPr="00C21316" w:rsidRDefault="00E652A7" w:rsidP="0039326F">
            <w:pPr>
              <w:numPr>
                <w:ilvl w:val="0"/>
                <w:numId w:val="16"/>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Timber Resource Management Act (1998)</w:t>
            </w:r>
          </w:p>
          <w:p w14:paraId="1E4750B6" w14:textId="77777777" w:rsidR="00E652A7" w:rsidRPr="00C21316" w:rsidRDefault="00E652A7" w:rsidP="0039326F">
            <w:pPr>
              <w:numPr>
                <w:ilvl w:val="0"/>
                <w:numId w:val="16"/>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Forest and Wildlife Policy (2012)</w:t>
            </w:r>
          </w:p>
          <w:p w14:paraId="30F02252" w14:textId="77777777" w:rsidR="00E652A7" w:rsidRPr="00C21316" w:rsidRDefault="00E652A7" w:rsidP="0039326F">
            <w:pPr>
              <w:numPr>
                <w:ilvl w:val="0"/>
                <w:numId w:val="16"/>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Timber Resource Management (Legality Licencing) Regulations (2012)</w:t>
            </w:r>
          </w:p>
          <w:p w14:paraId="07617338" w14:textId="77777777" w:rsidR="00E652A7" w:rsidRPr="00C21316" w:rsidRDefault="00E652A7" w:rsidP="0039326F">
            <w:pPr>
              <w:numPr>
                <w:ilvl w:val="0"/>
                <w:numId w:val="16"/>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Environmental Assessment Regulation (1999)</w:t>
            </w:r>
          </w:p>
          <w:p w14:paraId="30E437FE" w14:textId="77777777" w:rsidR="00E652A7" w:rsidRPr="00C21316" w:rsidRDefault="00E652A7" w:rsidP="0039326F">
            <w:pPr>
              <w:numPr>
                <w:ilvl w:val="0"/>
                <w:numId w:val="16"/>
              </w:numPr>
              <w:spacing w:after="200" w:line="252" w:lineRule="auto"/>
              <w:contextualSpacing/>
              <w:jc w:val="left"/>
              <w:rPr>
                <w:rFonts w:ascii="Calibri" w:eastAsia="MS Gothic" w:hAnsi="Calibri" w:cs="Calibri"/>
                <w:bCs/>
                <w:szCs w:val="22"/>
              </w:rPr>
            </w:pPr>
            <w:r w:rsidRPr="00C21316">
              <w:rPr>
                <w:rFonts w:ascii="Calibri" w:eastAsia="MS Gothic" w:hAnsi="Calibri" w:cs="Calibri"/>
                <w:bCs/>
                <w:sz w:val="20"/>
                <w:szCs w:val="20"/>
              </w:rPr>
              <w:t>Timber Resource Management Regulations (2002)</w:t>
            </w:r>
          </w:p>
          <w:p w14:paraId="3E44D6E0" w14:textId="77777777" w:rsidR="00E652A7" w:rsidRPr="00E652A7" w:rsidRDefault="00E652A7" w:rsidP="0039326F">
            <w:pPr>
              <w:numPr>
                <w:ilvl w:val="0"/>
                <w:numId w:val="16"/>
              </w:numPr>
              <w:spacing w:after="200" w:line="252" w:lineRule="auto"/>
              <w:contextualSpacing/>
              <w:jc w:val="left"/>
              <w:rPr>
                <w:rFonts w:ascii="Calibri" w:eastAsia="MS Gothic" w:hAnsi="Calibri" w:cs="Calibri"/>
                <w:bCs/>
                <w:sz w:val="20"/>
                <w:szCs w:val="20"/>
              </w:rPr>
            </w:pPr>
            <w:r w:rsidRPr="00E652A7">
              <w:rPr>
                <w:rFonts w:ascii="Calibri" w:eastAsia="MS Gothic" w:hAnsi="Calibri" w:cs="Calibri"/>
                <w:bCs/>
                <w:sz w:val="20"/>
                <w:szCs w:val="20"/>
              </w:rPr>
              <w:t>Chieftaincy Act (2008)</w:t>
            </w:r>
          </w:p>
          <w:p w14:paraId="776746BC" w14:textId="71F433C7" w:rsidR="00E652A7" w:rsidRPr="00D75BE8" w:rsidRDefault="00E652A7" w:rsidP="0039326F">
            <w:pPr>
              <w:numPr>
                <w:ilvl w:val="0"/>
                <w:numId w:val="16"/>
              </w:numPr>
              <w:spacing w:after="200" w:line="252" w:lineRule="auto"/>
              <w:contextualSpacing/>
              <w:jc w:val="left"/>
              <w:rPr>
                <w:rFonts w:ascii="Calibri" w:eastAsia="MS Gothic" w:hAnsi="Calibri" w:cs="Calibri"/>
                <w:bCs/>
                <w:szCs w:val="22"/>
              </w:rPr>
            </w:pPr>
            <w:r w:rsidRPr="00E652A7">
              <w:rPr>
                <w:rFonts w:ascii="Calibri" w:eastAsia="MS Gothic" w:hAnsi="Calibri" w:cs="Calibri"/>
                <w:bCs/>
                <w:sz w:val="20"/>
                <w:szCs w:val="20"/>
              </w:rPr>
              <w:t>Alternative Dispute Resolution Act (2010)</w:t>
            </w:r>
          </w:p>
        </w:tc>
      </w:tr>
    </w:tbl>
    <w:p w14:paraId="6BF6CE76" w14:textId="77777777" w:rsidR="00D75BE8" w:rsidRPr="00D75BE8" w:rsidRDefault="00D75BE8" w:rsidP="00D75BE8">
      <w:pPr>
        <w:jc w:val="left"/>
        <w:rPr>
          <w:rFonts w:ascii="Calibri" w:eastAsia="Calibri" w:hAnsi="Calibri" w:cs="Arial"/>
        </w:rPr>
      </w:pPr>
    </w:p>
    <w:p w14:paraId="765B73AF" w14:textId="77777777" w:rsidR="00D75BE8" w:rsidRPr="00D75BE8" w:rsidRDefault="00D75BE8" w:rsidP="00D75BE8">
      <w:pPr>
        <w:jc w:val="left"/>
        <w:rPr>
          <w:rFonts w:ascii="Calibri" w:eastAsia="Calibri" w:hAnsi="Calibri" w:cs="Arial"/>
        </w:rPr>
      </w:pPr>
    </w:p>
    <w:p w14:paraId="078F3B52" w14:textId="77777777" w:rsidR="00D75BE8" w:rsidRPr="00D75BE8" w:rsidRDefault="00D75BE8" w:rsidP="00D75BE8">
      <w:pPr>
        <w:jc w:val="center"/>
        <w:rPr>
          <w:rFonts w:ascii="Candara" w:eastAsia="MS Gothic" w:hAnsi="Candara" w:cs="Times New Roman"/>
          <w:b/>
          <w:i/>
          <w:color w:val="000000"/>
          <w:sz w:val="20"/>
          <w:szCs w:val="20"/>
        </w:rPr>
      </w:pPr>
      <w:r w:rsidRPr="00D75BE8">
        <w:rPr>
          <w:rFonts w:ascii="Candara" w:eastAsia="MS Gothic" w:hAnsi="Candara" w:cs="Times New Roman"/>
          <w:b/>
          <w:i/>
          <w:color w:val="000000"/>
          <w:sz w:val="20"/>
          <w:szCs w:val="20"/>
        </w:rPr>
        <w:t>UNFCCC REDD+ safeguard (E):</w:t>
      </w:r>
    </w:p>
    <w:p w14:paraId="1CE37FAC" w14:textId="77777777" w:rsidR="00D75BE8" w:rsidRPr="00D75BE8" w:rsidRDefault="00D75BE8" w:rsidP="00D75BE8">
      <w:pPr>
        <w:spacing w:after="240"/>
        <w:ind w:left="720"/>
        <w:jc w:val="center"/>
        <w:rPr>
          <w:rFonts w:ascii="Candara" w:eastAsia="MS Gothic" w:hAnsi="Candara" w:cs="Helvetica"/>
          <w:b/>
          <w:i/>
          <w:color w:val="000000"/>
          <w:sz w:val="20"/>
          <w:szCs w:val="20"/>
          <w:lang w:val="en-CA"/>
        </w:rPr>
      </w:pPr>
      <w:r w:rsidRPr="00D75BE8">
        <w:rPr>
          <w:rFonts w:ascii="Candara" w:eastAsia="MS Gothic" w:hAnsi="Candara" w:cs="Times New Roman"/>
          <w:b/>
          <w:i/>
          <w:color w:val="000000"/>
          <w:sz w:val="20"/>
          <w:szCs w:val="20"/>
        </w:rPr>
        <w:t>“</w:t>
      </w:r>
      <w:r w:rsidRPr="00D75BE8">
        <w:rPr>
          <w:rFonts w:ascii="Candara" w:eastAsia="MS Gothic" w:hAnsi="Candara" w:cs="Helvetica"/>
          <w:b/>
          <w:i/>
          <w:color w:val="000000"/>
          <w:sz w:val="20"/>
          <w:szCs w:val="20"/>
          <w:lang w:val="en-CA"/>
        </w:rPr>
        <w:t>That actions are consistent with the conservation of natural forests and biological diversity, ensuring that the [REDD+] actions are not used for the conversion of natural forests, but are instead used to incentivize the protection and conservation of natural forests and their ecosystem services, and to enhance other social and environmental benefit;”</w:t>
      </w:r>
    </w:p>
    <w:p w14:paraId="174BE3F3" w14:textId="77777777" w:rsidR="00D75BE8" w:rsidRPr="00D75BE8" w:rsidRDefault="00D75BE8" w:rsidP="00D75BE8">
      <w:pPr>
        <w:textAlignment w:val="baseline"/>
        <w:rPr>
          <w:rFonts w:ascii="Calibri" w:eastAsia="MS Mincho" w:hAnsi="Calibri" w:cs="Calibri"/>
          <w:szCs w:val="22"/>
          <w:lang w:val="en-US"/>
        </w:rPr>
      </w:pPr>
    </w:p>
    <w:p w14:paraId="55749D72" w14:textId="462E43E7" w:rsidR="00D75BE8" w:rsidRPr="00D75BE8" w:rsidRDefault="00D75BE8" w:rsidP="00C21316">
      <w:pPr>
        <w:spacing w:after="160" w:line="259" w:lineRule="auto"/>
        <w:rPr>
          <w:rFonts w:ascii="Calibri" w:eastAsia="Calibri" w:hAnsi="Calibri" w:cs="Arial"/>
          <w:szCs w:val="22"/>
          <w:lang w:bidi="he-IL"/>
        </w:rPr>
      </w:pPr>
      <w:r w:rsidRPr="00D75BE8">
        <w:rPr>
          <w:rFonts w:ascii="Calibri" w:eastAsia="Calibri" w:hAnsi="Calibri" w:cs="Arial"/>
          <w:szCs w:val="22"/>
          <w:lang w:bidi="he-IL"/>
        </w:rPr>
        <w:t>Ghana’s legal framework includes a broad duty to safeguard and protect the environment,</w:t>
      </w:r>
      <w:r w:rsidRPr="00D75BE8">
        <w:rPr>
          <w:rFonts w:ascii="Calibri" w:eastAsia="Calibri" w:hAnsi="Calibri" w:cs="Arial"/>
          <w:szCs w:val="22"/>
          <w:vertAlign w:val="superscript"/>
          <w:lang w:bidi="he-IL"/>
        </w:rPr>
        <w:footnoteReference w:id="104"/>
      </w:r>
      <w:r w:rsidRPr="00D75BE8">
        <w:rPr>
          <w:rFonts w:ascii="Calibri" w:eastAsia="Calibri" w:hAnsi="Calibri" w:cs="Arial"/>
          <w:szCs w:val="22"/>
          <w:lang w:bidi="he-IL"/>
        </w:rPr>
        <w:t xml:space="preserve"> and mandates the Environmental Protection Agency Act to promote studies, research, surveys, analyses for the improvement of the protection of the environment and the maintenance of sound ecological ecosystems, as well as the promotion of effective planning in the management of the environment.</w:t>
      </w:r>
      <w:r w:rsidRPr="00D75BE8">
        <w:rPr>
          <w:rFonts w:ascii="Calibri" w:eastAsia="Calibri" w:hAnsi="Calibri" w:cs="Arial"/>
          <w:szCs w:val="22"/>
          <w:vertAlign w:val="superscript"/>
          <w:lang w:bidi="he-IL"/>
        </w:rPr>
        <w:footnoteReference w:id="105"/>
      </w:r>
      <w:r w:rsidRPr="00D75BE8">
        <w:rPr>
          <w:rFonts w:ascii="Calibri" w:eastAsia="Calibri" w:hAnsi="Calibri" w:cs="Arial"/>
          <w:szCs w:val="22"/>
          <w:lang w:bidi="he-IL"/>
        </w:rPr>
        <w:t xml:space="preserve"> </w:t>
      </w:r>
    </w:p>
    <w:p w14:paraId="75C8F2C8" w14:textId="77EFDC51" w:rsidR="00D75BE8" w:rsidRDefault="00D75BE8" w:rsidP="00D75BE8">
      <w:pPr>
        <w:rPr>
          <w:rFonts w:ascii="Calibri" w:eastAsia="Calibri" w:hAnsi="Calibri" w:cs="Arial"/>
          <w:szCs w:val="22"/>
          <w:lang w:bidi="he-IL"/>
        </w:rPr>
      </w:pPr>
      <w:r w:rsidRPr="00D75BE8">
        <w:rPr>
          <w:rFonts w:ascii="Calibri" w:eastAsia="Calibri" w:hAnsi="Calibri" w:cs="Arial"/>
          <w:szCs w:val="22"/>
          <w:lang w:bidi="he-IL"/>
        </w:rPr>
        <w:t>The legal framework requires that all undertakings that could potentially negatively affect the environment be subject to EIA</w:t>
      </w:r>
      <w:r w:rsidRPr="00D75BE8">
        <w:rPr>
          <w:rFonts w:ascii="Calibri" w:eastAsia="Calibri" w:hAnsi="Calibri" w:cs="Arial"/>
          <w:szCs w:val="22"/>
          <w:vertAlign w:val="superscript"/>
          <w:lang w:bidi="he-IL"/>
        </w:rPr>
        <w:footnoteReference w:id="106"/>
      </w:r>
      <w:r w:rsidR="001B7641">
        <w:rPr>
          <w:rFonts w:ascii="Calibri" w:eastAsia="Calibri" w:hAnsi="Calibri" w:cs="Arial"/>
          <w:szCs w:val="22"/>
          <w:lang w:bidi="he-IL"/>
        </w:rPr>
        <w:t>.</w:t>
      </w:r>
      <w:r w:rsidRPr="00D75BE8">
        <w:rPr>
          <w:rFonts w:ascii="Calibri" w:eastAsia="Calibri" w:hAnsi="Calibri" w:cs="Arial"/>
          <w:szCs w:val="22"/>
          <w:lang w:bidi="he-IL"/>
        </w:rPr>
        <w:t xml:space="preserve"> </w:t>
      </w:r>
      <w:r w:rsidR="001B7641">
        <w:rPr>
          <w:rFonts w:ascii="Calibri" w:eastAsia="Calibri" w:hAnsi="Calibri" w:cs="Arial"/>
          <w:szCs w:val="22"/>
          <w:lang w:bidi="he-IL"/>
        </w:rPr>
        <w:t>W</w:t>
      </w:r>
      <w:r w:rsidRPr="00D75BE8">
        <w:rPr>
          <w:rFonts w:ascii="Calibri" w:eastAsia="Calibri" w:hAnsi="Calibri" w:cs="Arial"/>
          <w:szCs w:val="22"/>
          <w:lang w:bidi="he-IL"/>
        </w:rPr>
        <w:t xml:space="preserve">henever a management plan is submitted to the Forestry Commission (FC) by a company to obtain a permit, the provision of information on the environmental impacts of the operation is required by the FC. </w:t>
      </w:r>
    </w:p>
    <w:p w14:paraId="7C22CE63" w14:textId="77777777" w:rsidR="00A347C6" w:rsidRPr="00D75BE8" w:rsidRDefault="00A347C6" w:rsidP="00D75BE8">
      <w:pPr>
        <w:rPr>
          <w:rFonts w:ascii="Calibri" w:eastAsia="Calibri" w:hAnsi="Calibri" w:cs="Arial"/>
          <w:szCs w:val="22"/>
          <w:lang w:bidi="he-IL"/>
        </w:rPr>
      </w:pPr>
    </w:p>
    <w:p w14:paraId="3916D0BA" w14:textId="77777777" w:rsidR="00D75BE8" w:rsidRPr="00D75BE8" w:rsidRDefault="00D75BE8" w:rsidP="00D75BE8">
      <w:pPr>
        <w:rPr>
          <w:rFonts w:ascii="Calibri" w:eastAsia="Calibri" w:hAnsi="Calibri" w:cs="Calibri"/>
        </w:rPr>
      </w:pPr>
      <w:r w:rsidRPr="00D75BE8">
        <w:rPr>
          <w:rFonts w:ascii="Calibri" w:eastAsia="Calibri" w:hAnsi="Calibri" w:cs="Arial"/>
          <w:szCs w:val="22"/>
          <w:lang w:bidi="he-IL"/>
        </w:rPr>
        <w:t xml:space="preserve">Ghana also has a National Biodiversity Strategy and action plan (NBSAP) which provides guidance on priority issues and a strategic framework for biodiversity conservation and management and </w:t>
      </w:r>
      <w:r w:rsidRPr="00D75BE8">
        <w:rPr>
          <w:rFonts w:ascii="Calibri" w:eastAsia="Calibri" w:hAnsi="Calibri" w:cs="Calibri"/>
        </w:rPr>
        <w:t xml:space="preserve">defines the term biological diversity </w:t>
      </w:r>
      <w:r w:rsidRPr="00D75BE8">
        <w:rPr>
          <w:rFonts w:ascii="Calibri" w:eastAsia="Calibri" w:hAnsi="Calibri" w:cs="Arial"/>
        </w:rPr>
        <w:t>in line with the Convention on Biodiversity</w:t>
      </w:r>
      <w:r w:rsidRPr="00D75BE8">
        <w:rPr>
          <w:rFonts w:ascii="Calibri" w:eastAsia="Times New Roman" w:hAnsi="Calibri" w:cs="Arial"/>
        </w:rPr>
        <w:t>,</w:t>
      </w:r>
      <w:r w:rsidRPr="00D75BE8">
        <w:rPr>
          <w:rFonts w:ascii="Calibri" w:eastAsia="Calibri" w:hAnsi="Calibri" w:cs="Arial"/>
        </w:rPr>
        <w:t xml:space="preserve"> w</w:t>
      </w:r>
      <w:r w:rsidRPr="00D75BE8">
        <w:rPr>
          <w:rFonts w:ascii="Calibri" w:eastAsia="Calibri" w:hAnsi="Calibri" w:cs="Calibri"/>
        </w:rPr>
        <w:t xml:space="preserve">ith ‘ecosystem’ clearly defined </w:t>
      </w:r>
      <w:r w:rsidRPr="00D75BE8">
        <w:rPr>
          <w:rFonts w:ascii="Calibri" w:eastAsia="Calibri" w:hAnsi="Calibri" w:cs="Arial"/>
        </w:rPr>
        <w:t>as well (though ‘ecosystem services’ are not).</w:t>
      </w:r>
    </w:p>
    <w:p w14:paraId="3B5242F7" w14:textId="77777777" w:rsidR="00D75BE8" w:rsidRPr="00D75BE8" w:rsidRDefault="00D75BE8" w:rsidP="00D75BE8">
      <w:pPr>
        <w:textAlignment w:val="baseline"/>
        <w:rPr>
          <w:rFonts w:ascii="Calibri" w:eastAsia="MS Mincho" w:hAnsi="Calibri" w:cs="Calibri"/>
          <w:szCs w:val="22"/>
        </w:rPr>
      </w:pPr>
    </w:p>
    <w:p w14:paraId="5DDFDDF0" w14:textId="47E402BE" w:rsidR="00D75BE8" w:rsidRPr="00D75BE8" w:rsidRDefault="00D75BE8" w:rsidP="00D75BE8">
      <w:pPr>
        <w:suppressOverlap/>
        <w:rPr>
          <w:rFonts w:ascii="Calibri" w:eastAsia="Calibri" w:hAnsi="Calibri" w:cs="Arial"/>
        </w:rPr>
      </w:pPr>
      <w:r w:rsidRPr="00D75BE8">
        <w:rPr>
          <w:rFonts w:ascii="Calibri" w:eastAsia="Calibri" w:hAnsi="Calibri" w:cs="Arial"/>
        </w:rPr>
        <w:t>Additionally, Ghana’s legal framework has limited provisions that seek to maintain and increase ecological, biological, climatic, socio-cultural and economic contributions of forest resources.</w:t>
      </w:r>
      <w:r w:rsidRPr="00D75BE8">
        <w:rPr>
          <w:rFonts w:ascii="Calibri" w:eastAsia="Calibri" w:hAnsi="Calibri" w:cs="Arial"/>
          <w:vertAlign w:val="superscript"/>
        </w:rPr>
        <w:footnoteReference w:id="107"/>
      </w:r>
      <w:r w:rsidRPr="00D75BE8">
        <w:rPr>
          <w:rFonts w:ascii="Calibri" w:eastAsia="Calibri" w:hAnsi="Calibri" w:cs="Arial"/>
        </w:rPr>
        <w:t xml:space="preserve"> The Ghana Forest and Wildlife Policy and NBSAP for example,  promote the development of viable forest and wildlife based industries and livelihoods.</w:t>
      </w:r>
      <w:r w:rsidRPr="00D75BE8">
        <w:rPr>
          <w:rFonts w:ascii="Calibri" w:eastAsia="Calibri" w:hAnsi="Calibri" w:cs="Arial"/>
          <w:vertAlign w:val="superscript"/>
        </w:rPr>
        <w:footnoteReference w:id="108"/>
      </w:r>
      <w:r w:rsidRPr="00D75BE8">
        <w:rPr>
          <w:rFonts w:ascii="Calibri" w:eastAsia="Calibri" w:hAnsi="Calibri" w:cs="Arial"/>
        </w:rPr>
        <w:t xml:space="preserve"> </w:t>
      </w:r>
    </w:p>
    <w:p w14:paraId="705222B7" w14:textId="77777777" w:rsidR="00D75BE8" w:rsidRPr="00D75BE8" w:rsidRDefault="00D75BE8" w:rsidP="00D75BE8">
      <w:pPr>
        <w:textAlignment w:val="baseline"/>
        <w:rPr>
          <w:rFonts w:ascii="Calibri" w:eastAsia="Calibri" w:hAnsi="Calibri" w:cs="Arial"/>
        </w:rPr>
      </w:pPr>
    </w:p>
    <w:p w14:paraId="1A0AC137" w14:textId="77777777" w:rsidR="00D75BE8" w:rsidRPr="00D75BE8" w:rsidRDefault="00D75BE8" w:rsidP="00D75BE8">
      <w:pPr>
        <w:textAlignment w:val="baseline"/>
        <w:rPr>
          <w:rFonts w:ascii="Calibri" w:eastAsia="Calibri" w:hAnsi="Calibri" w:cs="Arial"/>
        </w:rPr>
      </w:pPr>
      <w:r w:rsidRPr="00D75BE8">
        <w:rPr>
          <w:rFonts w:ascii="Calibri" w:eastAsia="Calibri" w:hAnsi="Calibri" w:cs="Arial"/>
        </w:rPr>
        <w:t xml:space="preserve">While </w:t>
      </w:r>
      <w:commentRangeStart w:id="17"/>
      <w:commentRangeStart w:id="18"/>
      <w:commentRangeStart w:id="19"/>
      <w:r w:rsidRPr="00D75BE8">
        <w:rPr>
          <w:rFonts w:ascii="Calibri" w:eastAsia="Calibri" w:hAnsi="Calibri" w:cs="Arial"/>
        </w:rPr>
        <w:t>Ghana has no definition of natural forests</w:t>
      </w:r>
      <w:commentRangeEnd w:id="17"/>
      <w:r w:rsidR="002752EB">
        <w:rPr>
          <w:rStyle w:val="CommentReference"/>
        </w:rPr>
        <w:commentReference w:id="17"/>
      </w:r>
      <w:commentRangeEnd w:id="18"/>
      <w:r w:rsidR="00D75DCF">
        <w:rPr>
          <w:rStyle w:val="CommentReference"/>
        </w:rPr>
        <w:commentReference w:id="18"/>
      </w:r>
      <w:commentRangeEnd w:id="19"/>
      <w:r w:rsidR="00982DDC">
        <w:rPr>
          <w:rStyle w:val="CommentReference"/>
        </w:rPr>
        <w:commentReference w:id="19"/>
      </w:r>
      <w:r w:rsidRPr="00D75BE8">
        <w:rPr>
          <w:rFonts w:ascii="Calibri" w:eastAsia="Calibri" w:hAnsi="Calibri" w:cs="Arial"/>
        </w:rPr>
        <w:t xml:space="preserve">, in practice, the FC and stakeholders consider forests that have come about without any man-made efforts as natural forest and recognise them as such. </w:t>
      </w:r>
      <w:r w:rsidRPr="00D75BE8">
        <w:rPr>
          <w:rFonts w:ascii="Calibri" w:eastAsia="Calibri" w:hAnsi="Calibri" w:cs="Arial"/>
          <w:szCs w:val="22"/>
        </w:rPr>
        <w:t xml:space="preserve">And, </w:t>
      </w:r>
      <w:r w:rsidRPr="00D75BE8">
        <w:rPr>
          <w:rFonts w:ascii="Calibri" w:eastAsia="Calibri" w:hAnsi="Calibri" w:cs="Arial"/>
          <w:szCs w:val="22"/>
          <w:lang w:val="en-US"/>
        </w:rPr>
        <w:t>while Ghanaian law does not provide direct prohibition on conversion of forests, a combination of legal provisions, ranging from the constitution down to regulations and ministerial mandate would prohibit the conversion of natural forests as a result of REDD+ implementation.</w:t>
      </w:r>
    </w:p>
    <w:p w14:paraId="29A322D7" w14:textId="77777777" w:rsidR="00D75BE8" w:rsidRPr="00D75BE8" w:rsidRDefault="00D75BE8" w:rsidP="00D75BE8">
      <w:pPr>
        <w:spacing w:after="160" w:line="259" w:lineRule="auto"/>
        <w:jc w:val="left"/>
        <w:rPr>
          <w:rFonts w:ascii="Calibri" w:eastAsia="Calibri" w:hAnsi="Calibri" w:cs="Arial"/>
          <w:szCs w:val="22"/>
          <w:lang w:bidi="he-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1B7641" w:rsidRPr="00D75BE8" w14:paraId="712C231C" w14:textId="77777777" w:rsidTr="00C21316">
        <w:trPr>
          <w:trHeight w:val="364"/>
        </w:trPr>
        <w:tc>
          <w:tcPr>
            <w:tcW w:w="5000" w:type="pct"/>
            <w:shd w:val="clear" w:color="auto" w:fill="AA97E4"/>
          </w:tcPr>
          <w:p w14:paraId="25A2CA00" w14:textId="77777777" w:rsidR="001B7641" w:rsidRPr="00D75BE8" w:rsidRDefault="001B7641" w:rsidP="00D75BE8">
            <w:pPr>
              <w:spacing w:after="200" w:line="252" w:lineRule="auto"/>
              <w:rPr>
                <w:rFonts w:ascii="Candara" w:eastAsia="MS Gothic" w:hAnsi="Candara" w:cs="Times New Roman"/>
                <w:color w:val="FFFFFF"/>
                <w:sz w:val="20"/>
                <w:szCs w:val="20"/>
              </w:rPr>
            </w:pPr>
            <w:r w:rsidRPr="00D75BE8">
              <w:rPr>
                <w:rFonts w:ascii="Candara" w:eastAsia="MS Gothic" w:hAnsi="Candara" w:cs="Times New Roman"/>
                <w:color w:val="FFFFFF"/>
                <w:sz w:val="20"/>
                <w:szCs w:val="20"/>
              </w:rPr>
              <w:t>List of relevant Policies, Laws and Regulation</w:t>
            </w:r>
          </w:p>
        </w:tc>
      </w:tr>
      <w:tr w:rsidR="001B7641" w:rsidRPr="00D75BE8" w14:paraId="519902C6" w14:textId="77777777" w:rsidTr="00C21316">
        <w:trPr>
          <w:trHeight w:val="1178"/>
        </w:trPr>
        <w:tc>
          <w:tcPr>
            <w:tcW w:w="5000" w:type="pct"/>
          </w:tcPr>
          <w:p w14:paraId="6BB6DD45" w14:textId="77777777" w:rsidR="001B7641" w:rsidRPr="00C21316" w:rsidRDefault="001B7641" w:rsidP="0039326F">
            <w:pPr>
              <w:numPr>
                <w:ilvl w:val="0"/>
                <w:numId w:val="17"/>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Traditional Medicine Practices Act (2000)</w:t>
            </w:r>
          </w:p>
          <w:p w14:paraId="6153866B" w14:textId="77777777" w:rsidR="001B7641" w:rsidRPr="00C21316" w:rsidRDefault="001B7641" w:rsidP="0039326F">
            <w:pPr>
              <w:numPr>
                <w:ilvl w:val="0"/>
                <w:numId w:val="17"/>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National Biodiversity Strategy and Action Plan for Ghana (2014)</w:t>
            </w:r>
          </w:p>
          <w:p w14:paraId="13AB4981" w14:textId="5E4169F6" w:rsidR="001B7641" w:rsidRPr="00C21316" w:rsidRDefault="001B7641" w:rsidP="0039326F">
            <w:pPr>
              <w:numPr>
                <w:ilvl w:val="0"/>
                <w:numId w:val="17"/>
              </w:numPr>
              <w:spacing w:after="200" w:line="252" w:lineRule="auto"/>
              <w:contextualSpacing/>
              <w:jc w:val="left"/>
              <w:rPr>
                <w:rFonts w:ascii="Calibri" w:eastAsia="MS Gothic" w:hAnsi="Calibri" w:cs="Calibri"/>
                <w:b/>
                <w:sz w:val="20"/>
                <w:szCs w:val="20"/>
              </w:rPr>
            </w:pPr>
            <w:r w:rsidRPr="00C21316">
              <w:rPr>
                <w:rFonts w:ascii="Calibri" w:eastAsia="MS Gothic" w:hAnsi="Calibri" w:cs="Calibri"/>
                <w:bCs/>
                <w:sz w:val="20"/>
                <w:szCs w:val="20"/>
              </w:rPr>
              <w:t>Wetland Management (RAMSAR SITE) Regulations (1999)</w:t>
            </w:r>
          </w:p>
          <w:p w14:paraId="56E986D5" w14:textId="5E0C29C5" w:rsidR="001B7641" w:rsidRPr="00C21316" w:rsidRDefault="001B7641" w:rsidP="0039326F">
            <w:pPr>
              <w:numPr>
                <w:ilvl w:val="0"/>
                <w:numId w:val="17"/>
              </w:numPr>
              <w:spacing w:after="200" w:line="252" w:lineRule="auto"/>
              <w:contextualSpacing/>
              <w:jc w:val="left"/>
              <w:rPr>
                <w:rFonts w:ascii="Calibri" w:eastAsia="MS Gothic" w:hAnsi="Calibri" w:cs="Calibri"/>
                <w:b/>
                <w:sz w:val="20"/>
                <w:szCs w:val="20"/>
              </w:rPr>
            </w:pPr>
            <w:r w:rsidRPr="00C21316">
              <w:rPr>
                <w:rFonts w:ascii="Calibri" w:eastAsia="MS Gothic" w:hAnsi="Calibri" w:cs="Calibri"/>
                <w:bCs/>
                <w:sz w:val="20"/>
                <w:szCs w:val="20"/>
              </w:rPr>
              <w:t>Constitution of the Republic of Ghana (1992)</w:t>
            </w:r>
          </w:p>
          <w:p w14:paraId="57E67E3B" w14:textId="77777777" w:rsidR="001B7641" w:rsidRPr="00C21316" w:rsidRDefault="001B7641" w:rsidP="0039326F">
            <w:pPr>
              <w:numPr>
                <w:ilvl w:val="0"/>
                <w:numId w:val="17"/>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Environmental Assessment Regulation (1999)</w:t>
            </w:r>
          </w:p>
          <w:p w14:paraId="6AD7D2CD" w14:textId="52698B3B" w:rsidR="001B7641" w:rsidRPr="00C21316" w:rsidRDefault="001B7641" w:rsidP="0039326F">
            <w:pPr>
              <w:numPr>
                <w:ilvl w:val="0"/>
                <w:numId w:val="17"/>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 xml:space="preserve">Forest </w:t>
            </w:r>
            <w:r w:rsidR="002752EB">
              <w:rPr>
                <w:rFonts w:ascii="Calibri" w:eastAsia="MS Gothic" w:hAnsi="Calibri" w:cs="Calibri"/>
                <w:bCs/>
                <w:sz w:val="20"/>
                <w:szCs w:val="20"/>
              </w:rPr>
              <w:t>Ordinance</w:t>
            </w:r>
            <w:r w:rsidR="002752EB" w:rsidRPr="00C21316">
              <w:rPr>
                <w:rFonts w:ascii="Calibri" w:eastAsia="MS Gothic" w:hAnsi="Calibri" w:cs="Calibri"/>
                <w:bCs/>
                <w:sz w:val="20"/>
                <w:szCs w:val="20"/>
              </w:rPr>
              <w:t xml:space="preserve"> </w:t>
            </w:r>
            <w:r w:rsidRPr="00C21316">
              <w:rPr>
                <w:rFonts w:ascii="Calibri" w:eastAsia="MS Gothic" w:hAnsi="Calibri" w:cs="Calibri"/>
                <w:bCs/>
                <w:sz w:val="20"/>
                <w:szCs w:val="20"/>
              </w:rPr>
              <w:t>(1927)</w:t>
            </w:r>
          </w:p>
          <w:p w14:paraId="74BEE680" w14:textId="77777777" w:rsidR="001B7641" w:rsidRPr="00C21316" w:rsidRDefault="001B7641" w:rsidP="0039326F">
            <w:pPr>
              <w:numPr>
                <w:ilvl w:val="0"/>
                <w:numId w:val="17"/>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Wetland Management (RAMSAR SITE) Regulations (1999)</w:t>
            </w:r>
          </w:p>
          <w:p w14:paraId="7D008642" w14:textId="77777777" w:rsidR="001B7641" w:rsidRPr="00C21316" w:rsidRDefault="001B7641" w:rsidP="0039326F">
            <w:pPr>
              <w:numPr>
                <w:ilvl w:val="0"/>
                <w:numId w:val="17"/>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Trees and Timber Act (1974)</w:t>
            </w:r>
          </w:p>
          <w:p w14:paraId="182B8931" w14:textId="77777777" w:rsidR="001B7641" w:rsidRPr="00C21316" w:rsidRDefault="001B7641" w:rsidP="0039326F">
            <w:pPr>
              <w:numPr>
                <w:ilvl w:val="0"/>
                <w:numId w:val="17"/>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Forest Protection Act (1974)</w:t>
            </w:r>
          </w:p>
          <w:p w14:paraId="5FA5D80E" w14:textId="77777777" w:rsidR="001B7641" w:rsidRPr="00C21316" w:rsidRDefault="001B7641" w:rsidP="0039326F">
            <w:pPr>
              <w:numPr>
                <w:ilvl w:val="0"/>
                <w:numId w:val="17"/>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Timber Resource Management Act (1998)</w:t>
            </w:r>
          </w:p>
          <w:p w14:paraId="785E842C" w14:textId="77777777" w:rsidR="001B7641" w:rsidRPr="00C21316" w:rsidRDefault="001B7641" w:rsidP="0039326F">
            <w:pPr>
              <w:numPr>
                <w:ilvl w:val="0"/>
                <w:numId w:val="17"/>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lastRenderedPageBreak/>
              <w:t>Environment Protection Agency Act (1994)</w:t>
            </w:r>
          </w:p>
          <w:p w14:paraId="143738DE" w14:textId="77777777" w:rsidR="001B7641" w:rsidRPr="00C21316" w:rsidRDefault="001B7641" w:rsidP="0039326F">
            <w:pPr>
              <w:numPr>
                <w:ilvl w:val="0"/>
                <w:numId w:val="17"/>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Forest and Wildlife Policy (2012)</w:t>
            </w:r>
          </w:p>
          <w:p w14:paraId="258D5A2B" w14:textId="77777777" w:rsidR="001B7641" w:rsidRPr="00C21316" w:rsidRDefault="001B7641" w:rsidP="0039326F">
            <w:pPr>
              <w:numPr>
                <w:ilvl w:val="0"/>
                <w:numId w:val="17"/>
              </w:numPr>
              <w:spacing w:after="200" w:line="252"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Land Use and Spatial Act (2016)</w:t>
            </w:r>
          </w:p>
          <w:p w14:paraId="4D6C5F83" w14:textId="507419FA" w:rsidR="001B7641" w:rsidRPr="00C21316" w:rsidRDefault="001B7641" w:rsidP="0039326F">
            <w:pPr>
              <w:numPr>
                <w:ilvl w:val="0"/>
                <w:numId w:val="17"/>
              </w:numPr>
              <w:spacing w:after="160" w:line="259" w:lineRule="auto"/>
              <w:contextualSpacing/>
              <w:jc w:val="left"/>
              <w:rPr>
                <w:rFonts w:ascii="Calibri" w:eastAsia="MS Gothic" w:hAnsi="Calibri" w:cs="Calibri"/>
                <w:bCs/>
                <w:sz w:val="20"/>
                <w:szCs w:val="20"/>
              </w:rPr>
            </w:pPr>
            <w:r w:rsidRPr="00C21316">
              <w:rPr>
                <w:rFonts w:ascii="Calibri" w:eastAsia="MS Gothic" w:hAnsi="Calibri" w:cs="Calibri"/>
                <w:bCs/>
                <w:sz w:val="20"/>
                <w:szCs w:val="20"/>
              </w:rPr>
              <w:t>Office of the Administrator of Stool Lands Act (1994)</w:t>
            </w:r>
          </w:p>
        </w:tc>
      </w:tr>
    </w:tbl>
    <w:p w14:paraId="19CDC89A" w14:textId="77777777" w:rsidR="00D75BE8" w:rsidRPr="00D75BE8" w:rsidRDefault="00D75BE8" w:rsidP="00D75BE8">
      <w:pPr>
        <w:jc w:val="left"/>
        <w:rPr>
          <w:rFonts w:ascii="Calibri" w:eastAsia="Calibri" w:hAnsi="Calibri" w:cs="Arial"/>
        </w:rPr>
      </w:pPr>
    </w:p>
    <w:p w14:paraId="5F4293BE" w14:textId="3B84EB53" w:rsidR="002B4BFE" w:rsidRDefault="002B4BFE" w:rsidP="004D539A"/>
    <w:p w14:paraId="610C1D5E" w14:textId="77777777" w:rsidR="001A1FEA" w:rsidRPr="00CD0B8A" w:rsidRDefault="001A1FEA" w:rsidP="001A1FEA">
      <w:pPr>
        <w:jc w:val="center"/>
      </w:pPr>
    </w:p>
    <w:p w14:paraId="28CF9C5B" w14:textId="77777777" w:rsidR="001A1FEA" w:rsidRPr="002B4BFE" w:rsidRDefault="001A1FEA" w:rsidP="001A1FEA">
      <w:pPr>
        <w:jc w:val="center"/>
        <w:rPr>
          <w:rFonts w:ascii="Candara" w:eastAsia="MS Gothic" w:hAnsi="Candara" w:cs="Times New Roman"/>
          <w:b/>
          <w:i/>
          <w:sz w:val="20"/>
          <w:szCs w:val="20"/>
        </w:rPr>
      </w:pPr>
      <w:r w:rsidRPr="002B4BFE">
        <w:rPr>
          <w:rFonts w:ascii="Candara" w:eastAsia="MS Gothic" w:hAnsi="Candara" w:cs="Times New Roman"/>
          <w:b/>
          <w:i/>
          <w:sz w:val="20"/>
          <w:szCs w:val="20"/>
        </w:rPr>
        <w:t>UNFCCC REDD+ safeguards (F) and (G)):</w:t>
      </w:r>
    </w:p>
    <w:p w14:paraId="3FAE168A" w14:textId="77777777" w:rsidR="001A1FEA" w:rsidRDefault="001A1FEA" w:rsidP="001A1FEA">
      <w:pPr>
        <w:jc w:val="center"/>
        <w:rPr>
          <w:rFonts w:ascii="Candara" w:eastAsia="MS Gothic" w:hAnsi="Candara" w:cs="Helvetica"/>
          <w:b/>
          <w:i/>
          <w:sz w:val="20"/>
          <w:szCs w:val="20"/>
          <w:lang w:val="en-CA"/>
        </w:rPr>
      </w:pPr>
      <w:r w:rsidRPr="002B4BFE">
        <w:rPr>
          <w:rFonts w:ascii="Candara" w:eastAsia="MS Gothic" w:hAnsi="Candara" w:cs="Helvetica"/>
          <w:b/>
          <w:i/>
          <w:sz w:val="20"/>
          <w:szCs w:val="20"/>
          <w:lang w:val="en-CA"/>
        </w:rPr>
        <w:t>“Actions to address the risks of reversals; Actions to reduce displacement of emissions.”</w:t>
      </w:r>
    </w:p>
    <w:p w14:paraId="14A390EA" w14:textId="77777777" w:rsidR="001A1FEA" w:rsidRDefault="001A1FEA" w:rsidP="001A1FEA">
      <w:pPr>
        <w:pStyle w:val="paragraph"/>
        <w:spacing w:before="0" w:beforeAutospacing="0" w:after="0" w:afterAutospacing="0"/>
        <w:jc w:val="both"/>
        <w:textAlignment w:val="baseline"/>
        <w:rPr>
          <w:rStyle w:val="normaltextrun"/>
          <w:rFonts w:ascii="Candara" w:hAnsi="Candara" w:cs="Tahoma"/>
          <w:sz w:val="20"/>
          <w:szCs w:val="20"/>
        </w:rPr>
      </w:pPr>
    </w:p>
    <w:p w14:paraId="21B7C0AF" w14:textId="088958E2" w:rsidR="001A1FEA" w:rsidRDefault="001B7641" w:rsidP="001A1FEA">
      <w:pPr>
        <w:rPr>
          <w:rFonts w:cstheme="minorHAnsi"/>
          <w:szCs w:val="22"/>
        </w:rPr>
      </w:pPr>
      <w:r>
        <w:rPr>
          <w:rFonts w:cstheme="minorHAnsi"/>
        </w:rPr>
        <w:t>W</w:t>
      </w:r>
      <w:r w:rsidR="001A1FEA">
        <w:rPr>
          <w:rFonts w:cstheme="minorHAnsi"/>
        </w:rPr>
        <w:t>hile</w:t>
      </w:r>
      <w:r w:rsidR="001A1FEA" w:rsidRPr="009E0BB5">
        <w:rPr>
          <w:rFonts w:cstheme="minorHAnsi"/>
          <w:szCs w:val="22"/>
        </w:rPr>
        <w:t xml:space="preserve"> Ghana’s legal framework does</w:t>
      </w:r>
      <w:r w:rsidR="002752EB">
        <w:rPr>
          <w:rFonts w:cstheme="minorHAnsi"/>
          <w:szCs w:val="22"/>
        </w:rPr>
        <w:t xml:space="preserve"> </w:t>
      </w:r>
      <w:r w:rsidR="001A1FEA" w:rsidRPr="009E0BB5">
        <w:rPr>
          <w:rFonts w:cstheme="minorHAnsi"/>
          <w:szCs w:val="22"/>
        </w:rPr>
        <w:t>n</w:t>
      </w:r>
      <w:r w:rsidR="002752EB">
        <w:rPr>
          <w:rFonts w:cstheme="minorHAnsi"/>
          <w:szCs w:val="22"/>
        </w:rPr>
        <w:t>o</w:t>
      </w:r>
      <w:r w:rsidR="001A1FEA" w:rsidRPr="009E0BB5">
        <w:rPr>
          <w:rFonts w:cstheme="minorHAnsi"/>
          <w:szCs w:val="22"/>
        </w:rPr>
        <w:t xml:space="preserve">t have any provisions explicitly designed to tackle the risk of reversals, </w:t>
      </w:r>
      <w:r w:rsidR="001A1FEA" w:rsidRPr="009E0BB5">
        <w:rPr>
          <w:rFonts w:cstheme="minorHAnsi"/>
        </w:rPr>
        <w:t>several</w:t>
      </w:r>
      <w:r w:rsidR="001A1FEA" w:rsidRPr="009E0BB5">
        <w:rPr>
          <w:rFonts w:cstheme="minorHAnsi"/>
          <w:szCs w:val="22"/>
        </w:rPr>
        <w:t xml:space="preserve"> relevant provisions exist</w:t>
      </w:r>
      <w:r w:rsidR="001A1FEA">
        <w:rPr>
          <w:rFonts w:cstheme="minorHAnsi"/>
        </w:rPr>
        <w:t>:</w:t>
      </w:r>
      <w:r w:rsidR="001A1FEA" w:rsidRPr="009E0BB5">
        <w:rPr>
          <w:rFonts w:cstheme="minorHAnsi"/>
          <w:szCs w:val="22"/>
        </w:rPr>
        <w:t xml:space="preserve">  The Ghanaian legal framework provides for the sustainable utilization of forests and other relevant resources</w:t>
      </w:r>
      <w:r w:rsidR="001A1FEA" w:rsidRPr="009E0BB5">
        <w:rPr>
          <w:rStyle w:val="FootnoteReference"/>
          <w:rFonts w:cstheme="minorHAnsi"/>
          <w:szCs w:val="22"/>
        </w:rPr>
        <w:footnoteReference w:id="109"/>
      </w:r>
      <w:r w:rsidR="001A1FEA">
        <w:rPr>
          <w:rFonts w:cstheme="minorHAnsi"/>
        </w:rPr>
        <w:t xml:space="preserve">, </w:t>
      </w:r>
      <w:r w:rsidR="001A1FEA" w:rsidRPr="009E0BB5">
        <w:rPr>
          <w:rFonts w:cstheme="minorHAnsi"/>
          <w:szCs w:val="22"/>
        </w:rPr>
        <w:t>regulates against unsanctioned bushfires,</w:t>
      </w:r>
      <w:r w:rsidR="001A1FEA" w:rsidRPr="009E0BB5">
        <w:rPr>
          <w:rStyle w:val="FootnoteReference"/>
          <w:rFonts w:cstheme="minorHAnsi"/>
          <w:szCs w:val="22"/>
        </w:rPr>
        <w:footnoteReference w:id="110"/>
      </w:r>
      <w:r w:rsidR="001A1FEA" w:rsidRPr="009E0BB5">
        <w:rPr>
          <w:rFonts w:cstheme="minorHAnsi"/>
          <w:szCs w:val="22"/>
        </w:rPr>
        <w:t xml:space="preserve"> and outlines legal and illegal behaviours within the forest sector, as well as the sanctions for breaches of the laws</w:t>
      </w:r>
      <w:r w:rsidR="001A1FEA" w:rsidRPr="009E0BB5">
        <w:rPr>
          <w:rStyle w:val="FootnoteReference"/>
          <w:rFonts w:cstheme="minorHAnsi"/>
          <w:szCs w:val="22"/>
        </w:rPr>
        <w:footnoteReference w:id="111"/>
      </w:r>
      <w:r w:rsidR="001A1FEA" w:rsidRPr="009E0BB5">
        <w:rPr>
          <w:rFonts w:cstheme="minorHAnsi"/>
          <w:szCs w:val="22"/>
        </w:rPr>
        <w:t>. Ghana’s PLRs have also mandated the adoption of a wood tracking system to tackle illegal logging,</w:t>
      </w:r>
      <w:r w:rsidR="001A1FEA" w:rsidRPr="009E0BB5">
        <w:rPr>
          <w:rStyle w:val="FootnoteReference"/>
          <w:rFonts w:cstheme="minorHAnsi"/>
          <w:szCs w:val="22"/>
        </w:rPr>
        <w:footnoteReference w:id="112"/>
      </w:r>
      <w:r w:rsidR="001A1FEA" w:rsidRPr="009E0BB5">
        <w:rPr>
          <w:rFonts w:cstheme="minorHAnsi"/>
          <w:szCs w:val="22"/>
        </w:rPr>
        <w:t xml:space="preserve"> and the EPA Act, anticipating the need for a scientific approach and technical expertise for the effective management of the forest and its resources, provides for it by mandating the Agency to develop and administer training programmes, the aim of which is to adequately equip its personnel with the requisite technical expertise for the management of the forest and its resources.</w:t>
      </w:r>
    </w:p>
    <w:p w14:paraId="43795C73" w14:textId="77777777" w:rsidR="001B7641" w:rsidRPr="009E0BB5" w:rsidRDefault="001B7641" w:rsidP="001A1FEA">
      <w:pPr>
        <w:rPr>
          <w:rFonts w:cstheme="minorHAnsi"/>
          <w:szCs w:val="22"/>
        </w:rPr>
      </w:pPr>
    </w:p>
    <w:p w14:paraId="2167B7C4" w14:textId="77777777" w:rsidR="001A1FEA" w:rsidRPr="009E0BB5" w:rsidRDefault="001A1FEA" w:rsidP="001A1FEA">
      <w:pPr>
        <w:rPr>
          <w:rFonts w:cstheme="minorHAnsi"/>
          <w:szCs w:val="22"/>
        </w:rPr>
      </w:pPr>
      <w:r w:rsidRPr="009E0BB5">
        <w:rPr>
          <w:rFonts w:cstheme="minorHAnsi"/>
          <w:szCs w:val="22"/>
        </w:rPr>
        <w:t xml:space="preserve">The Land Use and Spatial Planning Act 2016 contemplates a framework for the development of </w:t>
      </w:r>
      <w:r>
        <w:rPr>
          <w:rFonts w:cstheme="minorHAnsi"/>
        </w:rPr>
        <w:t xml:space="preserve">a </w:t>
      </w:r>
      <w:r w:rsidRPr="009E0BB5">
        <w:rPr>
          <w:rFonts w:cstheme="minorHAnsi"/>
          <w:szCs w:val="22"/>
        </w:rPr>
        <w:t>land</w:t>
      </w:r>
      <w:r>
        <w:rPr>
          <w:rFonts w:cstheme="minorHAnsi"/>
        </w:rPr>
        <w:t>-</w:t>
      </w:r>
      <w:r w:rsidRPr="009E0BB5">
        <w:rPr>
          <w:rFonts w:cstheme="minorHAnsi"/>
          <w:szCs w:val="22"/>
        </w:rPr>
        <w:t>use plan</w:t>
      </w:r>
      <w:r>
        <w:rPr>
          <w:rFonts w:cstheme="minorHAnsi"/>
        </w:rPr>
        <w:t xml:space="preserve"> which touches upon the issue of reversals</w:t>
      </w:r>
      <w:r>
        <w:rPr>
          <w:rStyle w:val="FootnoteReference"/>
          <w:rFonts w:cstheme="minorHAnsi"/>
        </w:rPr>
        <w:footnoteReference w:id="113"/>
      </w:r>
      <w:r>
        <w:rPr>
          <w:rFonts w:cstheme="minorHAnsi"/>
        </w:rPr>
        <w:t xml:space="preserve">. </w:t>
      </w:r>
      <w:r w:rsidRPr="009E0BB5">
        <w:rPr>
          <w:rFonts w:cstheme="minorHAnsi"/>
          <w:szCs w:val="22"/>
        </w:rPr>
        <w:t xml:space="preserve">Liabilities and compensation for actions that affect the conservation and management of forests </w:t>
      </w:r>
      <w:r>
        <w:rPr>
          <w:rFonts w:cstheme="minorHAnsi"/>
        </w:rPr>
        <w:t>being addressed within several PLRs</w:t>
      </w:r>
      <w:r w:rsidRPr="009E0BB5">
        <w:rPr>
          <w:rStyle w:val="FootnoteReference"/>
          <w:rFonts w:cstheme="minorHAnsi"/>
          <w:szCs w:val="22"/>
        </w:rPr>
        <w:footnoteReference w:id="114"/>
      </w:r>
      <w:r>
        <w:rPr>
          <w:rFonts w:cstheme="minorHAnsi"/>
        </w:rPr>
        <w:t>.</w:t>
      </w:r>
    </w:p>
    <w:p w14:paraId="2301AAE7" w14:textId="77777777" w:rsidR="001A1FEA" w:rsidRDefault="001A1FEA" w:rsidP="001A1FEA">
      <w:pPr>
        <w:pStyle w:val="paragraph"/>
        <w:spacing w:before="0" w:beforeAutospacing="0" w:after="0" w:afterAutospacing="0"/>
        <w:jc w:val="both"/>
        <w:textAlignment w:val="baseline"/>
        <w:rPr>
          <w:rFonts w:ascii="Candara" w:hAnsi="Candara" w:cs="Tahoma"/>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1B7641" w:rsidRPr="001A1FEA" w14:paraId="30911F14" w14:textId="77777777" w:rsidTr="00C21316">
        <w:trPr>
          <w:trHeight w:val="364"/>
        </w:trPr>
        <w:tc>
          <w:tcPr>
            <w:tcW w:w="5000" w:type="pct"/>
            <w:shd w:val="clear" w:color="auto" w:fill="AA97E4"/>
          </w:tcPr>
          <w:p w14:paraId="11BD91DA" w14:textId="77777777" w:rsidR="001B7641" w:rsidRPr="001A1FEA" w:rsidRDefault="001B7641" w:rsidP="00227B48">
            <w:pPr>
              <w:spacing w:after="200" w:line="252" w:lineRule="auto"/>
              <w:rPr>
                <w:rFonts w:ascii="Candara" w:eastAsia="MS Gothic" w:hAnsi="Candara" w:cs="Times New Roman"/>
                <w:color w:val="FFFFFF"/>
                <w:sz w:val="20"/>
                <w:szCs w:val="20"/>
              </w:rPr>
            </w:pPr>
            <w:r>
              <w:rPr>
                <w:rFonts w:ascii="Candara" w:eastAsia="MS Gothic" w:hAnsi="Candara" w:cs="Times New Roman"/>
                <w:color w:val="FFFFFF"/>
                <w:sz w:val="20"/>
                <w:szCs w:val="20"/>
              </w:rPr>
              <w:t>L</w:t>
            </w:r>
            <w:r>
              <w:rPr>
                <w:rFonts w:eastAsia="MS Gothic" w:cs="Times New Roman"/>
                <w:color w:val="FFFFFF"/>
              </w:rPr>
              <w:t>ist of Relevant Policies, Laws and Regulation</w:t>
            </w:r>
          </w:p>
        </w:tc>
      </w:tr>
      <w:tr w:rsidR="001B7641" w:rsidRPr="001A1FEA" w14:paraId="014E24B8" w14:textId="77777777" w:rsidTr="00C21316">
        <w:trPr>
          <w:trHeight w:val="260"/>
        </w:trPr>
        <w:tc>
          <w:tcPr>
            <w:tcW w:w="5000" w:type="pct"/>
          </w:tcPr>
          <w:p w14:paraId="2B827AED" w14:textId="77777777" w:rsidR="001B7641" w:rsidRPr="00C21316" w:rsidRDefault="001B7641" w:rsidP="0039326F">
            <w:pPr>
              <w:pStyle w:val="ListParagraph"/>
              <w:numPr>
                <w:ilvl w:val="0"/>
                <w:numId w:val="18"/>
              </w:numPr>
              <w:spacing w:after="200" w:line="252" w:lineRule="auto"/>
              <w:rPr>
                <w:rFonts w:eastAsia="MS Gothic" w:cstheme="minorHAnsi"/>
                <w:bCs/>
                <w:sz w:val="20"/>
                <w:szCs w:val="20"/>
              </w:rPr>
            </w:pPr>
            <w:r w:rsidRPr="00C21316">
              <w:rPr>
                <w:rFonts w:eastAsia="MS Gothic" w:cstheme="minorHAnsi"/>
                <w:bCs/>
                <w:sz w:val="20"/>
                <w:szCs w:val="20"/>
              </w:rPr>
              <w:t>Land use and Spatial Planning Act (2016)</w:t>
            </w:r>
          </w:p>
          <w:p w14:paraId="5B5F67E9" w14:textId="33FA34C0" w:rsidR="001B7641" w:rsidRPr="00C21316" w:rsidRDefault="001B7641" w:rsidP="0039326F">
            <w:pPr>
              <w:pStyle w:val="ListParagraph"/>
              <w:numPr>
                <w:ilvl w:val="0"/>
                <w:numId w:val="18"/>
              </w:numPr>
              <w:spacing w:after="200" w:line="252" w:lineRule="auto"/>
              <w:rPr>
                <w:rFonts w:eastAsia="MS Gothic" w:cstheme="minorHAnsi"/>
                <w:bCs/>
                <w:sz w:val="20"/>
                <w:szCs w:val="20"/>
              </w:rPr>
            </w:pPr>
            <w:r w:rsidRPr="00C21316">
              <w:rPr>
                <w:rFonts w:eastAsia="MS Gothic" w:cstheme="minorHAnsi"/>
                <w:bCs/>
                <w:sz w:val="20"/>
                <w:szCs w:val="20"/>
              </w:rPr>
              <w:t>Timber Resource Management (Legality Licensing) Regulations Regulation (2017)</w:t>
            </w:r>
          </w:p>
          <w:p w14:paraId="3DEAE8E1" w14:textId="77777777" w:rsidR="001B7641" w:rsidRPr="00C21316" w:rsidRDefault="001B7641" w:rsidP="0039326F">
            <w:pPr>
              <w:pStyle w:val="ListParagraph"/>
              <w:numPr>
                <w:ilvl w:val="0"/>
                <w:numId w:val="18"/>
              </w:numPr>
              <w:spacing w:after="200" w:line="252" w:lineRule="auto"/>
              <w:rPr>
                <w:rFonts w:eastAsia="MS Gothic" w:cstheme="minorHAnsi"/>
                <w:bCs/>
                <w:sz w:val="20"/>
                <w:szCs w:val="20"/>
              </w:rPr>
            </w:pPr>
            <w:r w:rsidRPr="00C21316">
              <w:rPr>
                <w:rFonts w:eastAsia="MS Gothic" w:cstheme="minorHAnsi"/>
                <w:bCs/>
                <w:sz w:val="20"/>
                <w:szCs w:val="20"/>
              </w:rPr>
              <w:t>Environmental Assessment Regulations (1999)</w:t>
            </w:r>
          </w:p>
          <w:p w14:paraId="443019CF" w14:textId="77777777" w:rsidR="001B7641" w:rsidRPr="00C21316" w:rsidRDefault="001B7641" w:rsidP="0039326F">
            <w:pPr>
              <w:pStyle w:val="ListParagraph"/>
              <w:numPr>
                <w:ilvl w:val="0"/>
                <w:numId w:val="18"/>
              </w:numPr>
              <w:spacing w:after="200" w:line="252" w:lineRule="auto"/>
              <w:rPr>
                <w:rFonts w:eastAsia="MS Gothic" w:cstheme="minorHAnsi"/>
                <w:bCs/>
                <w:sz w:val="20"/>
                <w:szCs w:val="20"/>
              </w:rPr>
            </w:pPr>
            <w:r w:rsidRPr="00C21316">
              <w:rPr>
                <w:rFonts w:eastAsia="MS Gothic" w:cstheme="minorHAnsi"/>
                <w:bCs/>
                <w:sz w:val="20"/>
                <w:szCs w:val="20"/>
              </w:rPr>
              <w:t>The Environmental Protection Agency Act (1994)</w:t>
            </w:r>
          </w:p>
          <w:p w14:paraId="045AF877" w14:textId="77777777" w:rsidR="001B7641" w:rsidRPr="00C21316" w:rsidRDefault="001B7641" w:rsidP="0039326F">
            <w:pPr>
              <w:pStyle w:val="ListParagraph"/>
              <w:numPr>
                <w:ilvl w:val="0"/>
                <w:numId w:val="18"/>
              </w:numPr>
              <w:spacing w:after="200" w:line="252" w:lineRule="auto"/>
              <w:rPr>
                <w:rFonts w:eastAsia="MS Gothic" w:cstheme="minorHAnsi"/>
                <w:bCs/>
                <w:sz w:val="20"/>
                <w:szCs w:val="20"/>
              </w:rPr>
            </w:pPr>
            <w:r w:rsidRPr="00C21316">
              <w:rPr>
                <w:rFonts w:eastAsia="MS Gothic" w:cstheme="minorHAnsi"/>
                <w:bCs/>
                <w:sz w:val="20"/>
                <w:szCs w:val="20"/>
              </w:rPr>
              <w:t>Constitution of the Republic of Ghana (1992)</w:t>
            </w:r>
          </w:p>
          <w:p w14:paraId="30FA9924" w14:textId="77777777" w:rsidR="001B7641" w:rsidRPr="00C21316" w:rsidRDefault="001B7641" w:rsidP="0039326F">
            <w:pPr>
              <w:pStyle w:val="ListParagraph"/>
              <w:numPr>
                <w:ilvl w:val="0"/>
                <w:numId w:val="18"/>
              </w:numPr>
              <w:spacing w:after="200" w:line="252" w:lineRule="auto"/>
              <w:rPr>
                <w:rFonts w:eastAsia="MS Gothic" w:cstheme="minorHAnsi"/>
                <w:bCs/>
                <w:sz w:val="20"/>
                <w:szCs w:val="20"/>
              </w:rPr>
            </w:pPr>
            <w:r w:rsidRPr="00C21316">
              <w:rPr>
                <w:rFonts w:eastAsia="MS Gothic" w:cstheme="minorHAnsi"/>
                <w:bCs/>
                <w:sz w:val="20"/>
                <w:szCs w:val="20"/>
              </w:rPr>
              <w:t>Timber Operations (Government Participation)  (1972)</w:t>
            </w:r>
          </w:p>
          <w:p w14:paraId="18D1BE7E" w14:textId="77777777" w:rsidR="001B7641" w:rsidRPr="00C21316" w:rsidRDefault="001B7641" w:rsidP="0039326F">
            <w:pPr>
              <w:pStyle w:val="ListParagraph"/>
              <w:numPr>
                <w:ilvl w:val="0"/>
                <w:numId w:val="18"/>
              </w:numPr>
              <w:spacing w:after="200" w:line="252" w:lineRule="auto"/>
              <w:rPr>
                <w:rFonts w:eastAsia="MS Gothic" w:cstheme="minorHAnsi"/>
                <w:bCs/>
                <w:sz w:val="20"/>
                <w:szCs w:val="20"/>
              </w:rPr>
            </w:pPr>
            <w:r w:rsidRPr="00C21316">
              <w:rPr>
                <w:rFonts w:eastAsia="MS Gothic" w:cstheme="minorHAnsi"/>
                <w:bCs/>
                <w:sz w:val="20"/>
                <w:szCs w:val="20"/>
              </w:rPr>
              <w:t>Forest Protection Act (1974)</w:t>
            </w:r>
          </w:p>
          <w:p w14:paraId="41859508" w14:textId="77777777" w:rsidR="001B7641" w:rsidRPr="00C21316" w:rsidRDefault="001B7641" w:rsidP="0039326F">
            <w:pPr>
              <w:pStyle w:val="ListParagraph"/>
              <w:numPr>
                <w:ilvl w:val="0"/>
                <w:numId w:val="18"/>
              </w:numPr>
              <w:spacing w:after="200" w:line="252" w:lineRule="auto"/>
              <w:rPr>
                <w:rFonts w:eastAsia="MS Gothic" w:cstheme="minorHAnsi"/>
                <w:bCs/>
                <w:sz w:val="20"/>
                <w:szCs w:val="20"/>
              </w:rPr>
            </w:pPr>
            <w:r w:rsidRPr="00C21316">
              <w:rPr>
                <w:rFonts w:eastAsia="MS Gothic" w:cstheme="minorHAnsi"/>
                <w:bCs/>
                <w:sz w:val="20"/>
                <w:szCs w:val="20"/>
              </w:rPr>
              <w:t>Trees and Timber Act (1974)</w:t>
            </w:r>
          </w:p>
          <w:p w14:paraId="3CB322A8" w14:textId="77777777" w:rsidR="001B7641" w:rsidRPr="00C21316" w:rsidRDefault="001B7641" w:rsidP="0039326F">
            <w:pPr>
              <w:pStyle w:val="ListParagraph"/>
              <w:numPr>
                <w:ilvl w:val="0"/>
                <w:numId w:val="18"/>
              </w:numPr>
              <w:spacing w:after="200" w:line="252" w:lineRule="auto"/>
              <w:rPr>
                <w:rFonts w:eastAsia="MS Gothic" w:cstheme="minorHAnsi"/>
                <w:bCs/>
                <w:sz w:val="20"/>
                <w:szCs w:val="20"/>
              </w:rPr>
            </w:pPr>
            <w:r w:rsidRPr="00C21316">
              <w:rPr>
                <w:rFonts w:eastAsia="MS Gothic" w:cstheme="minorHAnsi"/>
                <w:bCs/>
                <w:sz w:val="20"/>
                <w:szCs w:val="20"/>
              </w:rPr>
              <w:t>Control and Prevention of Bushfires Act (1990)</w:t>
            </w:r>
          </w:p>
          <w:p w14:paraId="58A306F1" w14:textId="3F455D33" w:rsidR="001B7641" w:rsidRPr="00C21316" w:rsidRDefault="001B7641" w:rsidP="0039326F">
            <w:pPr>
              <w:pStyle w:val="ListParagraph"/>
              <w:numPr>
                <w:ilvl w:val="0"/>
                <w:numId w:val="18"/>
              </w:numPr>
              <w:spacing w:after="200" w:line="252" w:lineRule="auto"/>
              <w:rPr>
                <w:rFonts w:eastAsia="MS Gothic" w:cstheme="minorHAnsi"/>
                <w:bCs/>
                <w:szCs w:val="22"/>
              </w:rPr>
            </w:pPr>
            <w:r w:rsidRPr="00C21316">
              <w:rPr>
                <w:rFonts w:eastAsia="MS Gothic" w:cstheme="minorHAnsi"/>
                <w:bCs/>
                <w:sz w:val="20"/>
                <w:szCs w:val="20"/>
              </w:rPr>
              <w:t>The Environment Protection Agency Act (1994)</w:t>
            </w:r>
          </w:p>
        </w:tc>
      </w:tr>
    </w:tbl>
    <w:p w14:paraId="5AEADEF3" w14:textId="77777777" w:rsidR="001A1FEA" w:rsidRPr="00C21316" w:rsidRDefault="001A1FEA" w:rsidP="00CE5C12">
      <w:pPr>
        <w:pStyle w:val="paragraph"/>
        <w:spacing w:before="0" w:beforeAutospacing="0" w:after="0" w:afterAutospacing="0"/>
        <w:jc w:val="both"/>
        <w:textAlignment w:val="baseline"/>
        <w:rPr>
          <w:rFonts w:ascii="Candara" w:hAnsi="Candara" w:cs="Tahoma"/>
          <w:sz w:val="20"/>
          <w:szCs w:val="20"/>
          <w:lang w:val="en-GB"/>
        </w:rPr>
      </w:pPr>
    </w:p>
    <w:p w14:paraId="57BDB531" w14:textId="77777777" w:rsidR="002B4BFE" w:rsidRPr="00C21316" w:rsidRDefault="002B4BFE" w:rsidP="00CD0B8A">
      <w:pPr>
        <w:jc w:val="left"/>
        <w:rPr>
          <w:lang w:val="en-US"/>
        </w:rPr>
      </w:pPr>
    </w:p>
    <w:p w14:paraId="5A7CADA2" w14:textId="4801B914" w:rsidR="00956C6A" w:rsidRDefault="00956C6A" w:rsidP="00CD0B8A">
      <w:pPr>
        <w:jc w:val="left"/>
      </w:pPr>
    </w:p>
    <w:p w14:paraId="0526080A" w14:textId="41C82C36" w:rsidR="00B03DD0" w:rsidRDefault="00B03DD0" w:rsidP="00CD0B8A">
      <w:pPr>
        <w:jc w:val="left"/>
      </w:pPr>
    </w:p>
    <w:p w14:paraId="709789A8" w14:textId="77777777" w:rsidR="004C06CC" w:rsidRDefault="004C06CC" w:rsidP="005A3505"/>
    <w:p w14:paraId="4BBD1E0B" w14:textId="77777777" w:rsidR="007162F7" w:rsidRDefault="007162F7" w:rsidP="005A3505"/>
    <w:p w14:paraId="5F9171BD" w14:textId="77777777" w:rsidR="009B0C71" w:rsidRDefault="009B0C71">
      <w:pPr>
        <w:pStyle w:val="ListParagraph"/>
        <w:rPr>
          <w:rFonts w:asciiTheme="majorHAnsi" w:hAnsiTheme="majorHAnsi"/>
          <w:color w:val="2F5496" w:themeColor="accent1" w:themeShade="BF"/>
          <w:sz w:val="32"/>
          <w:szCs w:val="32"/>
        </w:rPr>
        <w:sectPr w:rsidR="009B0C71" w:rsidSect="00847229">
          <w:pgSz w:w="11900" w:h="16840"/>
          <w:pgMar w:top="1440" w:right="1440" w:bottom="1440" w:left="1440" w:header="720" w:footer="720" w:gutter="0"/>
          <w:cols w:space="720"/>
          <w:docGrid w:linePitch="360"/>
        </w:sectPr>
      </w:pPr>
    </w:p>
    <w:p w14:paraId="313664A3" w14:textId="6C3F2064" w:rsidR="007162F7" w:rsidRPr="00065892" w:rsidRDefault="000A409B" w:rsidP="00C21316">
      <w:pPr>
        <w:pStyle w:val="Heading1"/>
      </w:pPr>
      <w:bookmarkStart w:id="20" w:name="_Toc523385942"/>
      <w:commentRangeStart w:id="21"/>
      <w:r>
        <w:lastRenderedPageBreak/>
        <w:t xml:space="preserve">Part IV: </w:t>
      </w:r>
      <w:r w:rsidR="005A3505" w:rsidRPr="00065892">
        <w:t xml:space="preserve">How </w:t>
      </w:r>
      <w:r w:rsidR="00383839" w:rsidRPr="009A3D42">
        <w:t xml:space="preserve">information about </w:t>
      </w:r>
      <w:r w:rsidR="005A3505" w:rsidRPr="009A3D42">
        <w:t>safeguard</w:t>
      </w:r>
      <w:r w:rsidR="00383839" w:rsidRPr="0007733E">
        <w:t xml:space="preserve">’s </w:t>
      </w:r>
      <w:r w:rsidR="005A3505" w:rsidRPr="0007733E">
        <w:t xml:space="preserve">implementation </w:t>
      </w:r>
      <w:r w:rsidR="00E20CCB">
        <w:t>will</w:t>
      </w:r>
      <w:r w:rsidR="005A3505" w:rsidRPr="00065892">
        <w:t xml:space="preserve"> be</w:t>
      </w:r>
      <w:r w:rsidR="005A3505" w:rsidRPr="009A3D42">
        <w:t xml:space="preserve"> gathered and reported: Ghana’s SIS </w:t>
      </w:r>
      <w:bookmarkEnd w:id="20"/>
      <w:commentRangeEnd w:id="21"/>
      <w:r w:rsidR="00483E52">
        <w:rPr>
          <w:rStyle w:val="CommentReference"/>
          <w:rFonts w:asciiTheme="minorHAnsi" w:eastAsiaTheme="minorHAnsi" w:hAnsiTheme="minorHAnsi" w:cstheme="minorBidi"/>
          <w:color w:val="auto"/>
        </w:rPr>
        <w:commentReference w:id="21"/>
      </w:r>
    </w:p>
    <w:p w14:paraId="0EBF967D" w14:textId="77777777" w:rsidR="007162F7" w:rsidRPr="00B21046" w:rsidRDefault="007162F7" w:rsidP="005A3505">
      <w:pPr>
        <w:rPr>
          <w:szCs w:val="22"/>
        </w:rPr>
      </w:pPr>
    </w:p>
    <w:p w14:paraId="5BAA1C4A" w14:textId="77777777" w:rsidR="00CA4C8B" w:rsidRDefault="00CA4C8B" w:rsidP="00C21316">
      <w:pPr>
        <w:pStyle w:val="ListParagraph"/>
      </w:pPr>
    </w:p>
    <w:p w14:paraId="2B76EB80" w14:textId="77777777" w:rsidR="00630EA9" w:rsidRDefault="00630EA9" w:rsidP="00630EA9"/>
    <w:p w14:paraId="3F17A2E1" w14:textId="77777777" w:rsidR="00E20CCB" w:rsidRDefault="00E20CCB">
      <w:pPr>
        <w:pStyle w:val="ListParagraph"/>
        <w:rPr>
          <w:rFonts w:asciiTheme="majorHAnsi" w:hAnsiTheme="majorHAnsi"/>
          <w:color w:val="2F5496" w:themeColor="accent1" w:themeShade="BF"/>
          <w:sz w:val="32"/>
          <w:szCs w:val="32"/>
        </w:rPr>
        <w:sectPr w:rsidR="00E20CCB" w:rsidSect="00847229">
          <w:pgSz w:w="11900" w:h="16840"/>
          <w:pgMar w:top="1440" w:right="1440" w:bottom="1440" w:left="1440" w:header="720" w:footer="720" w:gutter="0"/>
          <w:cols w:space="720"/>
          <w:docGrid w:linePitch="360"/>
        </w:sectPr>
      </w:pPr>
    </w:p>
    <w:p w14:paraId="76E7307E" w14:textId="6C20BDA0" w:rsidR="00630EA9" w:rsidRPr="00065892" w:rsidRDefault="007D7AC2" w:rsidP="009625CE">
      <w:pPr>
        <w:pStyle w:val="Heading1"/>
      </w:pPr>
      <w:bookmarkStart w:id="22" w:name="_Toc523385943"/>
      <w:r>
        <w:lastRenderedPageBreak/>
        <w:t xml:space="preserve">Part V: </w:t>
      </w:r>
      <w:r w:rsidR="00630EA9" w:rsidRPr="00065892">
        <w:t>How the safeguards have been respected</w:t>
      </w:r>
      <w:bookmarkEnd w:id="22"/>
    </w:p>
    <w:p w14:paraId="228B1184" w14:textId="77777777" w:rsidR="00B21046" w:rsidRDefault="00B21046" w:rsidP="00B21046"/>
    <w:p w14:paraId="6CC50365" w14:textId="77777777" w:rsidR="00120A51" w:rsidRDefault="00120A51" w:rsidP="00C21316">
      <w:r>
        <w:t xml:space="preserve">This section outlines the SIS information needs, which determine the types of information that will be gathered to demonstrate how safeguards are being respected.  </w:t>
      </w:r>
    </w:p>
    <w:p w14:paraId="37C17EDE" w14:textId="77777777" w:rsidR="00120A51" w:rsidRDefault="00120A51" w:rsidP="00C21316"/>
    <w:p w14:paraId="0BD9CAC9" w14:textId="57E3832C" w:rsidR="00120A51" w:rsidRDefault="00120A51" w:rsidP="00C21316">
      <w:r>
        <w:t>As noted above, t</w:t>
      </w:r>
      <w:r w:rsidRPr="00265868">
        <w:t xml:space="preserve">his initial SoI, is prepared prior to REDD+ implementation and therefore only provides information on the </w:t>
      </w:r>
      <w:r>
        <w:t>information needs to be utilized</w:t>
      </w:r>
      <w:r w:rsidRPr="00A66341">
        <w:t xml:space="preserve">, rather than of the </w:t>
      </w:r>
      <w:r>
        <w:t xml:space="preserve">actual information gathered and </w:t>
      </w:r>
      <w:r w:rsidRPr="00A66341">
        <w:t xml:space="preserve">outcomes of implementation. It is anticipated that subsequent </w:t>
      </w:r>
      <w:r>
        <w:t>SOIs</w:t>
      </w:r>
      <w:r w:rsidRPr="00A66341">
        <w:t xml:space="preserve"> will provide information</w:t>
      </w:r>
      <w:r w:rsidR="001E18FB">
        <w:t xml:space="preserve"> </w:t>
      </w:r>
      <w:r>
        <w:t>on the actual outcomes,</w:t>
      </w:r>
      <w:r w:rsidRPr="00A66341">
        <w:t xml:space="preserve"> </w:t>
      </w:r>
      <w:r>
        <w:t>structured in relation to these information needs</w:t>
      </w:r>
      <w:r w:rsidRPr="00A66341">
        <w:t xml:space="preserve"> as a basis for accessing UNFCCC results-based payments.</w:t>
      </w:r>
      <w:r>
        <w:t xml:space="preserve"> </w:t>
      </w:r>
    </w:p>
    <w:p w14:paraId="3D454A60" w14:textId="7BCA9B3C" w:rsidR="00120A51" w:rsidRDefault="00120A51" w:rsidP="000F3DF0">
      <w:pPr>
        <w:rPr>
          <w:rFonts w:eastAsia="Arial" w:cs="Arial"/>
          <w:bCs/>
          <w:color w:val="000000" w:themeColor="text1"/>
        </w:rPr>
      </w:pPr>
    </w:p>
    <w:p w14:paraId="45F0B0B1" w14:textId="77777777" w:rsidR="000F3DF0" w:rsidRDefault="000F3DF0" w:rsidP="00120A51">
      <w:pPr>
        <w:ind w:left="720"/>
        <w:rPr>
          <w:rFonts w:eastAsia="Arial" w:cs="Arial"/>
          <w:bCs/>
          <w:color w:val="000000" w:themeColor="text1"/>
        </w:rPr>
      </w:pPr>
    </w:p>
    <w:p w14:paraId="3C5E7E95" w14:textId="77777777" w:rsidR="000F3DF0" w:rsidRPr="000F3DF0" w:rsidRDefault="000F3DF0" w:rsidP="000F3DF0">
      <w:pPr>
        <w:rPr>
          <w:rFonts w:cs="Calibri"/>
          <w:sz w:val="21"/>
          <w:szCs w:val="21"/>
        </w:rPr>
      </w:pPr>
      <w:r w:rsidRPr="000F3DF0">
        <w:rPr>
          <w:rFonts w:cs="Calibri"/>
          <w:sz w:val="21"/>
          <w:szCs w:val="21"/>
        </w:rPr>
        <w:t>The information contained below is split into tables, one for each of the Cancun safeguards.</w:t>
      </w:r>
    </w:p>
    <w:p w14:paraId="7E2F0AFE" w14:textId="09A66575" w:rsidR="000F3DF0" w:rsidRDefault="000F3DF0" w:rsidP="000F3DF0">
      <w:pPr>
        <w:rPr>
          <w:rFonts w:cs="Calibri"/>
          <w:sz w:val="21"/>
          <w:szCs w:val="21"/>
        </w:rPr>
      </w:pPr>
    </w:p>
    <w:tbl>
      <w:tblPr>
        <w:tblStyle w:val="TableGrid"/>
        <w:tblW w:w="0" w:type="auto"/>
        <w:tblLook w:val="04A0" w:firstRow="1" w:lastRow="0" w:firstColumn="1" w:lastColumn="0" w:noHBand="0" w:noVBand="1"/>
      </w:tblPr>
      <w:tblGrid>
        <w:gridCol w:w="9056"/>
      </w:tblGrid>
      <w:tr w:rsidR="000F3DF0" w14:paraId="32E8AC55" w14:textId="77777777" w:rsidTr="000F3DF0">
        <w:tc>
          <w:tcPr>
            <w:tcW w:w="9056" w:type="dxa"/>
          </w:tcPr>
          <w:p w14:paraId="4EA2C580" w14:textId="0AA2DACE" w:rsidR="000F3DF0" w:rsidRPr="000F3DF0" w:rsidRDefault="000F3DF0" w:rsidP="0039326F">
            <w:pPr>
              <w:pStyle w:val="ListParagraph"/>
              <w:numPr>
                <w:ilvl w:val="0"/>
                <w:numId w:val="47"/>
              </w:numPr>
              <w:rPr>
                <w:rFonts w:cs="Calibri"/>
                <w:sz w:val="21"/>
                <w:szCs w:val="21"/>
              </w:rPr>
            </w:pPr>
            <w:r w:rsidRPr="000F3DF0">
              <w:rPr>
                <w:rFonts w:cs="Calibri"/>
                <w:sz w:val="21"/>
                <w:szCs w:val="21"/>
              </w:rPr>
              <w:t xml:space="preserve">First column outlines the ‘safeguard element’ as defined in the draft clarification/interpretation of the UNFCCC REDD+ safeguard in accordance with the country context: the information has been included as it provides the framework for structuring the information needs. </w:t>
            </w:r>
          </w:p>
          <w:p w14:paraId="557FAACC" w14:textId="77777777" w:rsidR="000F3DF0" w:rsidRPr="000F3DF0" w:rsidRDefault="000F3DF0" w:rsidP="000F3DF0">
            <w:pPr>
              <w:rPr>
                <w:rFonts w:cs="Calibri"/>
                <w:sz w:val="21"/>
                <w:szCs w:val="21"/>
              </w:rPr>
            </w:pPr>
          </w:p>
          <w:p w14:paraId="1DC83226" w14:textId="057950EA" w:rsidR="000F3DF0" w:rsidRPr="000F3DF0" w:rsidRDefault="000F3DF0" w:rsidP="0039326F">
            <w:pPr>
              <w:pStyle w:val="ListParagraph"/>
              <w:numPr>
                <w:ilvl w:val="0"/>
                <w:numId w:val="47"/>
              </w:numPr>
              <w:rPr>
                <w:rFonts w:cs="Calibri"/>
                <w:sz w:val="21"/>
                <w:szCs w:val="21"/>
              </w:rPr>
            </w:pPr>
            <w:r w:rsidRPr="000F3DF0">
              <w:rPr>
                <w:rFonts w:cs="Calibri"/>
                <w:sz w:val="21"/>
                <w:szCs w:val="21"/>
              </w:rPr>
              <w:t>Second column identifies the ‘sub-element’ of the safeguard (if applicable): Some of the Cancun safeguards are more conceptually complex/wide ranging than others, and therefore have been broken down into sub-elements in the clarification/interpretation.</w:t>
            </w:r>
          </w:p>
          <w:p w14:paraId="24388DB5" w14:textId="77777777" w:rsidR="000F3DF0" w:rsidRPr="000F3DF0" w:rsidRDefault="000F3DF0" w:rsidP="000F3DF0">
            <w:pPr>
              <w:rPr>
                <w:rFonts w:cs="Calibri"/>
                <w:sz w:val="21"/>
                <w:szCs w:val="21"/>
              </w:rPr>
            </w:pPr>
          </w:p>
          <w:p w14:paraId="28A1318C" w14:textId="17EDF022" w:rsidR="000F3DF0" w:rsidRPr="000F3DF0" w:rsidRDefault="000F3DF0" w:rsidP="0039326F">
            <w:pPr>
              <w:pStyle w:val="ListParagraph"/>
              <w:numPr>
                <w:ilvl w:val="0"/>
                <w:numId w:val="47"/>
              </w:numPr>
              <w:rPr>
                <w:rFonts w:cs="Calibri"/>
                <w:sz w:val="21"/>
                <w:szCs w:val="21"/>
              </w:rPr>
            </w:pPr>
            <w:r w:rsidRPr="000F3DF0">
              <w:rPr>
                <w:rFonts w:cs="Calibri"/>
                <w:sz w:val="21"/>
                <w:szCs w:val="21"/>
              </w:rPr>
              <w:t>The third column lists types of information that could be provided to demonstrate how the safeguard is being addressed: this should ideally include a narrative description of the measures in place to ensure that the implementation of REDD+ (as outlined in the GRS and ERPD) is consistent with the Cancun safeguards. This means the laws, regulations and procedures in Ghana that anchor the broad language of the Cancun safeguards to Ghana’s context (based on the legal analysis and interpretation) as well as any REDD+ specific measures (Operational Procedures for REDD+ implementation) developed to ensure safeguard compliance. Where possible, this should also include institutional arrangements (who is tasked with ensuring compliance with the safeguard element).</w:t>
            </w:r>
          </w:p>
          <w:p w14:paraId="6E4DB3BF" w14:textId="5A99AE8E" w:rsidR="000F3DF0" w:rsidRPr="000F3DF0" w:rsidRDefault="000F3DF0" w:rsidP="000F3DF0">
            <w:pPr>
              <w:rPr>
                <w:rFonts w:cs="Calibri"/>
                <w:sz w:val="21"/>
                <w:szCs w:val="21"/>
              </w:rPr>
            </w:pPr>
          </w:p>
          <w:p w14:paraId="21EEF484" w14:textId="3705BE4C" w:rsidR="000F3DF0" w:rsidRPr="000F3DF0" w:rsidRDefault="000F3DF0" w:rsidP="0039326F">
            <w:pPr>
              <w:pStyle w:val="ListParagraph"/>
              <w:numPr>
                <w:ilvl w:val="0"/>
                <w:numId w:val="47"/>
              </w:numPr>
              <w:rPr>
                <w:rFonts w:cs="Calibri"/>
                <w:sz w:val="21"/>
                <w:szCs w:val="21"/>
              </w:rPr>
            </w:pPr>
            <w:r w:rsidRPr="000F3DF0">
              <w:rPr>
                <w:rFonts w:cs="Calibri"/>
                <w:sz w:val="21"/>
                <w:szCs w:val="21"/>
              </w:rPr>
              <w:t>The fourth column lists types of information to be provided to demonstrate how the safeguard is being respected: this means information to demonstrate the outcomes of their implementation. This information can be both qualitative (narrative description) and quantitative (raw data and statistics).</w:t>
            </w:r>
          </w:p>
          <w:p w14:paraId="5CC955AD" w14:textId="685930B9" w:rsidR="000F3DF0" w:rsidRDefault="000F3DF0" w:rsidP="000F3DF0">
            <w:pPr>
              <w:rPr>
                <w:rFonts w:cs="Calibri"/>
                <w:sz w:val="21"/>
                <w:szCs w:val="21"/>
              </w:rPr>
            </w:pPr>
          </w:p>
        </w:tc>
      </w:tr>
    </w:tbl>
    <w:p w14:paraId="4CB37857" w14:textId="2A4F9739" w:rsidR="000F3DF0" w:rsidRPr="000F3DF0" w:rsidRDefault="000F3DF0" w:rsidP="000F3DF0">
      <w:pPr>
        <w:contextualSpacing/>
        <w:rPr>
          <w:sz w:val="21"/>
          <w:szCs w:val="21"/>
        </w:rPr>
        <w:sectPr w:rsidR="000F3DF0" w:rsidRPr="000F3DF0" w:rsidSect="00036A7C">
          <w:pgSz w:w="11900" w:h="16840"/>
          <w:pgMar w:top="1417" w:right="1417" w:bottom="1417" w:left="1417" w:header="708" w:footer="708" w:gutter="0"/>
          <w:cols w:space="708"/>
          <w:docGrid w:linePitch="360"/>
        </w:sectPr>
      </w:pPr>
    </w:p>
    <w:p w14:paraId="063CF97B" w14:textId="3D80B9CE" w:rsidR="000F3DF0" w:rsidRPr="00853D7A" w:rsidRDefault="000F3DF0" w:rsidP="000F3DF0">
      <w:pPr>
        <w:pStyle w:val="Heading1"/>
        <w:rPr>
          <w:rFonts w:ascii="Calibri" w:hAnsi="Calibri" w:cs="Calibri"/>
        </w:rPr>
      </w:pPr>
      <w:r w:rsidRPr="00366896">
        <w:rPr>
          <w:rFonts w:ascii="Calibri" w:hAnsi="Calibri" w:cs="Calibri"/>
        </w:rPr>
        <w:lastRenderedPageBreak/>
        <w:t>Safeguard</w:t>
      </w:r>
      <w:r w:rsidRPr="00853D7A">
        <w:rPr>
          <w:rFonts w:ascii="Calibri" w:hAnsi="Calibri" w:cs="Calibri"/>
        </w:rPr>
        <w:t xml:space="preserve"> (a): That actions complement or are consistent with the objectives of national forest programmes and relevant international conventions and agreements</w:t>
      </w:r>
    </w:p>
    <w:p w14:paraId="6C3B9FC6" w14:textId="77777777" w:rsidR="000F3DF0" w:rsidRPr="00853D7A" w:rsidRDefault="000F3DF0" w:rsidP="000F3DF0"/>
    <w:tbl>
      <w:tblPr>
        <w:tblStyle w:val="TableGrid"/>
        <w:tblW w:w="14209" w:type="dxa"/>
        <w:tblLook w:val="04A0" w:firstRow="1" w:lastRow="0" w:firstColumn="1" w:lastColumn="0" w:noHBand="0" w:noVBand="1"/>
      </w:tblPr>
      <w:tblGrid>
        <w:gridCol w:w="2830"/>
        <w:gridCol w:w="5010"/>
        <w:gridCol w:w="6369"/>
      </w:tblGrid>
      <w:tr w:rsidR="000F3DF0" w:rsidRPr="00366896" w14:paraId="03A3607C" w14:textId="77777777" w:rsidTr="00036A7C">
        <w:tc>
          <w:tcPr>
            <w:tcW w:w="2830" w:type="dxa"/>
          </w:tcPr>
          <w:p w14:paraId="466D62B2" w14:textId="77777777" w:rsidR="000F3DF0" w:rsidRPr="00366896" w:rsidRDefault="000F3DF0" w:rsidP="00036A7C">
            <w:pPr>
              <w:rPr>
                <w:rFonts w:cs="Calibri"/>
                <w:b/>
                <w:sz w:val="20"/>
                <w:szCs w:val="20"/>
              </w:rPr>
            </w:pPr>
            <w:r w:rsidRPr="00366896">
              <w:rPr>
                <w:rFonts w:cs="Calibri"/>
                <w:b/>
                <w:sz w:val="20"/>
                <w:szCs w:val="20"/>
              </w:rPr>
              <w:t xml:space="preserve">Safeguard element  </w:t>
            </w:r>
          </w:p>
        </w:tc>
        <w:tc>
          <w:tcPr>
            <w:tcW w:w="5010" w:type="dxa"/>
          </w:tcPr>
          <w:p w14:paraId="6D701290" w14:textId="77777777" w:rsidR="000F3DF0" w:rsidRDefault="000F3DF0" w:rsidP="00036A7C">
            <w:pPr>
              <w:rPr>
                <w:rFonts w:cs="Calibri"/>
                <w:b/>
                <w:sz w:val="20"/>
                <w:szCs w:val="20"/>
              </w:rPr>
            </w:pPr>
            <w:r w:rsidRPr="00366896">
              <w:rPr>
                <w:rFonts w:cs="Calibri"/>
                <w:b/>
                <w:sz w:val="20"/>
                <w:szCs w:val="20"/>
              </w:rPr>
              <w:t>Types of information that could be provided to demonstrate how the safeguard is being addressed</w:t>
            </w:r>
            <w:r>
              <w:rPr>
                <w:rFonts w:cs="Calibri"/>
                <w:b/>
                <w:sz w:val="20"/>
                <w:szCs w:val="20"/>
              </w:rPr>
              <w:t xml:space="preserve"> (measures)</w:t>
            </w:r>
          </w:p>
          <w:p w14:paraId="7F851E96" w14:textId="77777777" w:rsidR="000F3DF0" w:rsidRPr="00366896" w:rsidRDefault="000F3DF0" w:rsidP="00036A7C">
            <w:pPr>
              <w:rPr>
                <w:rFonts w:cs="Calibri"/>
                <w:b/>
                <w:sz w:val="20"/>
                <w:szCs w:val="20"/>
              </w:rPr>
            </w:pPr>
          </w:p>
        </w:tc>
        <w:tc>
          <w:tcPr>
            <w:tcW w:w="6369" w:type="dxa"/>
          </w:tcPr>
          <w:p w14:paraId="30F35F7F" w14:textId="77777777" w:rsidR="000F3DF0" w:rsidRPr="00366896" w:rsidRDefault="000F3DF0" w:rsidP="00036A7C">
            <w:pPr>
              <w:rPr>
                <w:rFonts w:cs="Calibri"/>
                <w:b/>
                <w:sz w:val="20"/>
                <w:szCs w:val="20"/>
              </w:rPr>
            </w:pPr>
            <w:r w:rsidRPr="00366896">
              <w:rPr>
                <w:rFonts w:cs="Calibri"/>
                <w:b/>
                <w:sz w:val="20"/>
                <w:szCs w:val="20"/>
              </w:rPr>
              <w:t>Types of information to be provided to demonstrate how the safeguard has been respected</w:t>
            </w:r>
            <w:r>
              <w:rPr>
                <w:rFonts w:cs="Calibri"/>
                <w:b/>
                <w:sz w:val="20"/>
                <w:szCs w:val="20"/>
              </w:rPr>
              <w:t xml:space="preserve"> (outcomes)</w:t>
            </w:r>
          </w:p>
        </w:tc>
      </w:tr>
      <w:tr w:rsidR="000F3DF0" w:rsidRPr="00853D7A" w14:paraId="01D41488" w14:textId="77777777" w:rsidTr="00036A7C">
        <w:tc>
          <w:tcPr>
            <w:tcW w:w="2830" w:type="dxa"/>
          </w:tcPr>
          <w:p w14:paraId="2DB92441" w14:textId="77777777" w:rsidR="000F3DF0" w:rsidRPr="00366896" w:rsidRDefault="000F3DF0" w:rsidP="00036A7C">
            <w:pPr>
              <w:rPr>
                <w:rFonts w:cs="Calibri"/>
                <w:b/>
                <w:sz w:val="20"/>
                <w:szCs w:val="20"/>
              </w:rPr>
            </w:pPr>
            <w:r w:rsidRPr="00366896">
              <w:rPr>
                <w:sz w:val="20"/>
                <w:szCs w:val="20"/>
              </w:rPr>
              <w:t xml:space="preserve">(REDD+) interventions/PaMs complement or are consistent with the objectives of Ghana’s national forest programmes </w:t>
            </w:r>
          </w:p>
        </w:tc>
        <w:tc>
          <w:tcPr>
            <w:tcW w:w="5010" w:type="dxa"/>
          </w:tcPr>
          <w:p w14:paraId="32B095B9" w14:textId="77777777" w:rsidR="000F3DF0" w:rsidRPr="00A261D6" w:rsidRDefault="000F3DF0" w:rsidP="0039326F">
            <w:pPr>
              <w:pStyle w:val="ListParagraph"/>
              <w:numPr>
                <w:ilvl w:val="0"/>
                <w:numId w:val="33"/>
              </w:numPr>
              <w:jc w:val="left"/>
              <w:rPr>
                <w:rFonts w:cs="Calibri"/>
                <w:b/>
                <w:szCs w:val="20"/>
              </w:rPr>
            </w:pPr>
            <w:r w:rsidRPr="00A261D6">
              <w:rPr>
                <w:rFonts w:cs="Calibri"/>
                <w:szCs w:val="20"/>
              </w:rPr>
              <w:t>Description of how the GRS is consistent and aligned with the objectives of Ghana’s national forest programmes.</w:t>
            </w:r>
          </w:p>
        </w:tc>
        <w:tc>
          <w:tcPr>
            <w:tcW w:w="6369" w:type="dxa"/>
          </w:tcPr>
          <w:p w14:paraId="3B6CB851" w14:textId="77777777" w:rsidR="000F3DF0" w:rsidRPr="00A261D6" w:rsidRDefault="000F3DF0" w:rsidP="00036A7C">
            <w:pPr>
              <w:rPr>
                <w:rFonts w:cstheme="minorHAnsi"/>
                <w:color w:val="000000" w:themeColor="text1"/>
                <w:sz w:val="20"/>
                <w:szCs w:val="20"/>
              </w:rPr>
            </w:pPr>
            <w:r w:rsidRPr="00A261D6">
              <w:rPr>
                <w:rFonts w:cstheme="minorHAnsi"/>
                <w:b/>
                <w:color w:val="000000" w:themeColor="text1"/>
                <w:sz w:val="20"/>
                <w:szCs w:val="20"/>
              </w:rPr>
              <w:t>Qualitative</w:t>
            </w:r>
          </w:p>
          <w:p w14:paraId="54E7DAA9" w14:textId="77777777" w:rsidR="000F3DF0" w:rsidRPr="00A261D6" w:rsidRDefault="000F3DF0" w:rsidP="0039326F">
            <w:pPr>
              <w:pStyle w:val="ListParagraph"/>
              <w:numPr>
                <w:ilvl w:val="0"/>
                <w:numId w:val="33"/>
              </w:numPr>
              <w:rPr>
                <w:szCs w:val="20"/>
              </w:rPr>
            </w:pPr>
            <w:r w:rsidRPr="00A261D6">
              <w:rPr>
                <w:szCs w:val="20"/>
              </w:rPr>
              <w:t>Description of how the implementation of the REDD+ strategy is consistent with the objectives of national forest programmes (macro)</w:t>
            </w:r>
          </w:p>
          <w:p w14:paraId="5DBC5A10" w14:textId="77777777" w:rsidR="000F3DF0" w:rsidRPr="00A261D6" w:rsidRDefault="000F3DF0" w:rsidP="0039326F">
            <w:pPr>
              <w:pStyle w:val="ListParagraph"/>
              <w:numPr>
                <w:ilvl w:val="0"/>
                <w:numId w:val="33"/>
              </w:numPr>
              <w:rPr>
                <w:szCs w:val="20"/>
              </w:rPr>
            </w:pPr>
            <w:r w:rsidRPr="00A261D6">
              <w:rPr>
                <w:szCs w:val="20"/>
              </w:rPr>
              <w:t xml:space="preserve">Description of how the implementation of the specific REDD+ </w:t>
            </w:r>
            <w:r>
              <w:rPr>
                <w:szCs w:val="20"/>
              </w:rPr>
              <w:t>intervention/PaM</w:t>
            </w:r>
            <w:r w:rsidRPr="00A261D6">
              <w:rPr>
                <w:szCs w:val="20"/>
              </w:rPr>
              <w:t xml:space="preserve"> is consistent with the objectives of national forest programmes (micro)</w:t>
            </w:r>
          </w:p>
          <w:p w14:paraId="1DD7FB65" w14:textId="77777777" w:rsidR="000F3DF0" w:rsidRPr="00A261D6" w:rsidRDefault="000F3DF0" w:rsidP="00036A7C">
            <w:pPr>
              <w:pStyle w:val="ListParagraph"/>
              <w:ind w:left="360"/>
              <w:rPr>
                <w:szCs w:val="20"/>
              </w:rPr>
            </w:pPr>
          </w:p>
        </w:tc>
      </w:tr>
      <w:tr w:rsidR="000F3DF0" w:rsidRPr="00366896" w14:paraId="632313CE" w14:textId="77777777" w:rsidTr="00036A7C">
        <w:tc>
          <w:tcPr>
            <w:tcW w:w="2830" w:type="dxa"/>
          </w:tcPr>
          <w:p w14:paraId="402459C8" w14:textId="77777777" w:rsidR="000F3DF0" w:rsidRPr="00366896" w:rsidRDefault="000F3DF0" w:rsidP="00036A7C">
            <w:pPr>
              <w:rPr>
                <w:rFonts w:cs="Calibri"/>
                <w:b/>
                <w:sz w:val="20"/>
                <w:szCs w:val="20"/>
              </w:rPr>
            </w:pPr>
            <w:r w:rsidRPr="00366896">
              <w:rPr>
                <w:sz w:val="20"/>
                <w:szCs w:val="20"/>
              </w:rPr>
              <w:t xml:space="preserve">(REDD+) interventions/PaMs complement or are consistent with </w:t>
            </w:r>
            <w:r w:rsidRPr="00366896">
              <w:rPr>
                <w:sz w:val="20"/>
                <w:szCs w:val="20"/>
                <w:u w:val="single"/>
              </w:rPr>
              <w:t xml:space="preserve">relevant </w:t>
            </w:r>
            <w:r w:rsidRPr="00366896">
              <w:rPr>
                <w:sz w:val="20"/>
                <w:szCs w:val="20"/>
              </w:rPr>
              <w:t xml:space="preserve">international conventions and agreements </w:t>
            </w:r>
          </w:p>
        </w:tc>
        <w:tc>
          <w:tcPr>
            <w:tcW w:w="5010" w:type="dxa"/>
          </w:tcPr>
          <w:p w14:paraId="4D952639" w14:textId="77777777" w:rsidR="000F3DF0" w:rsidRPr="00A261D6" w:rsidRDefault="000F3DF0" w:rsidP="0039326F">
            <w:pPr>
              <w:pStyle w:val="ListParagraph"/>
              <w:numPr>
                <w:ilvl w:val="0"/>
                <w:numId w:val="33"/>
              </w:numPr>
              <w:jc w:val="left"/>
              <w:rPr>
                <w:rFonts w:cs="Calibri"/>
                <w:b/>
                <w:szCs w:val="20"/>
              </w:rPr>
            </w:pPr>
            <w:r w:rsidRPr="00A261D6">
              <w:rPr>
                <w:rFonts w:cs="Calibri"/>
                <w:szCs w:val="20"/>
              </w:rPr>
              <w:t xml:space="preserve">List of international agreements to which Ghana is a party. </w:t>
            </w:r>
          </w:p>
          <w:p w14:paraId="6DE83E02" w14:textId="77777777" w:rsidR="000F3DF0" w:rsidRPr="00A261D6" w:rsidRDefault="000F3DF0" w:rsidP="0039326F">
            <w:pPr>
              <w:pStyle w:val="ListParagraph"/>
              <w:numPr>
                <w:ilvl w:val="0"/>
                <w:numId w:val="33"/>
              </w:numPr>
              <w:jc w:val="left"/>
              <w:rPr>
                <w:rFonts w:cs="Calibri"/>
                <w:b/>
                <w:szCs w:val="20"/>
              </w:rPr>
            </w:pPr>
            <w:r w:rsidRPr="00A261D6">
              <w:rPr>
                <w:rFonts w:cs="Calibri"/>
                <w:szCs w:val="20"/>
              </w:rPr>
              <w:t>Description of how the GRS is consistent with the objectives of these various agreements.</w:t>
            </w:r>
          </w:p>
        </w:tc>
        <w:tc>
          <w:tcPr>
            <w:tcW w:w="6369" w:type="dxa"/>
          </w:tcPr>
          <w:p w14:paraId="019FC2C0" w14:textId="77777777" w:rsidR="000F3DF0" w:rsidRPr="00F02213" w:rsidRDefault="000F3DF0" w:rsidP="00036A7C">
            <w:pPr>
              <w:rPr>
                <w:rFonts w:cstheme="minorHAnsi"/>
                <w:color w:val="000000" w:themeColor="text1"/>
                <w:sz w:val="20"/>
                <w:szCs w:val="20"/>
              </w:rPr>
            </w:pPr>
            <w:r w:rsidRPr="00A261D6">
              <w:rPr>
                <w:rFonts w:cstheme="minorHAnsi"/>
                <w:b/>
                <w:color w:val="000000" w:themeColor="text1"/>
                <w:sz w:val="20"/>
                <w:szCs w:val="20"/>
              </w:rPr>
              <w:t>Qualitative</w:t>
            </w:r>
          </w:p>
          <w:p w14:paraId="68FEE224" w14:textId="77777777" w:rsidR="000F3DF0" w:rsidRDefault="000F3DF0" w:rsidP="0039326F">
            <w:pPr>
              <w:pStyle w:val="ListParagraph"/>
              <w:numPr>
                <w:ilvl w:val="0"/>
                <w:numId w:val="33"/>
              </w:numPr>
              <w:jc w:val="left"/>
              <w:rPr>
                <w:rFonts w:cs="Calibri"/>
                <w:szCs w:val="20"/>
              </w:rPr>
            </w:pPr>
            <w:r w:rsidRPr="00A261D6">
              <w:rPr>
                <w:rFonts w:cstheme="minorHAnsi"/>
                <w:szCs w:val="20"/>
                <w:lang w:val="vi-VN"/>
              </w:rPr>
              <w:t xml:space="preserve">Description of how the implementation of the REDD+ strategy is consistent with the objectives of the </w:t>
            </w:r>
            <w:r w:rsidRPr="00A261D6">
              <w:rPr>
                <w:rFonts w:cs="Times New Roman"/>
                <w:szCs w:val="20"/>
                <w:lang w:val="vi-VN" w:eastAsia="en-GB"/>
              </w:rPr>
              <w:t xml:space="preserve">various international agreements to which </w:t>
            </w:r>
            <w:r>
              <w:rPr>
                <w:rFonts w:cs="Times New Roman"/>
                <w:szCs w:val="20"/>
                <w:lang w:val="vi-VN" w:eastAsia="en-GB"/>
              </w:rPr>
              <w:t>Ghana</w:t>
            </w:r>
            <w:r w:rsidRPr="00A261D6">
              <w:rPr>
                <w:rFonts w:cs="Times New Roman"/>
                <w:szCs w:val="20"/>
                <w:lang w:val="vi-VN" w:eastAsia="en-GB"/>
              </w:rPr>
              <w:t xml:space="preserve"> is a Party</w:t>
            </w:r>
            <w:r w:rsidRPr="00A261D6">
              <w:rPr>
                <w:rFonts w:cs="Calibri"/>
                <w:szCs w:val="20"/>
              </w:rPr>
              <w:t xml:space="preserve"> </w:t>
            </w:r>
            <w:r>
              <w:rPr>
                <w:rFonts w:cs="Calibri"/>
                <w:szCs w:val="20"/>
              </w:rPr>
              <w:t>(macro)</w:t>
            </w:r>
          </w:p>
          <w:p w14:paraId="1536673C" w14:textId="77777777" w:rsidR="000F3DF0" w:rsidRPr="00A261D6" w:rsidRDefault="000F3DF0" w:rsidP="0039326F">
            <w:pPr>
              <w:pStyle w:val="ListParagraph"/>
              <w:numPr>
                <w:ilvl w:val="0"/>
                <w:numId w:val="33"/>
              </w:numPr>
              <w:jc w:val="left"/>
              <w:rPr>
                <w:rFonts w:cs="Calibri"/>
                <w:szCs w:val="20"/>
              </w:rPr>
            </w:pPr>
            <w:r w:rsidRPr="00A261D6">
              <w:rPr>
                <w:rFonts w:cs="Calibri"/>
                <w:szCs w:val="20"/>
              </w:rPr>
              <w:t xml:space="preserve">Description of how the implementation of </w:t>
            </w:r>
            <w:r>
              <w:rPr>
                <w:rFonts w:cs="Calibri"/>
                <w:szCs w:val="20"/>
              </w:rPr>
              <w:t>the specific</w:t>
            </w:r>
            <w:r w:rsidRPr="00A261D6">
              <w:rPr>
                <w:rFonts w:cs="Calibri"/>
                <w:szCs w:val="20"/>
              </w:rPr>
              <w:t xml:space="preserve"> REDD+ intervention</w:t>
            </w:r>
            <w:r>
              <w:rPr>
                <w:rFonts w:cs="Calibri"/>
                <w:szCs w:val="20"/>
              </w:rPr>
              <w:t>/PaM</w:t>
            </w:r>
            <w:r w:rsidRPr="00A261D6">
              <w:rPr>
                <w:rFonts w:cs="Calibri"/>
                <w:szCs w:val="20"/>
              </w:rPr>
              <w:t xml:space="preserve"> is consistent with the objectives of the various agreements </w:t>
            </w:r>
            <w:r w:rsidRPr="00C03431">
              <w:rPr>
                <w:rFonts w:cs="Times New Roman"/>
                <w:szCs w:val="20"/>
                <w:lang w:val="vi-VN" w:eastAsia="en-GB"/>
              </w:rPr>
              <w:t xml:space="preserve">to which </w:t>
            </w:r>
            <w:r>
              <w:rPr>
                <w:rFonts w:cs="Times New Roman"/>
                <w:szCs w:val="20"/>
                <w:lang w:val="vi-VN" w:eastAsia="en-GB"/>
              </w:rPr>
              <w:t>Ghana</w:t>
            </w:r>
            <w:r w:rsidRPr="00C03431">
              <w:rPr>
                <w:rFonts w:cs="Times New Roman"/>
                <w:szCs w:val="20"/>
                <w:lang w:val="vi-VN" w:eastAsia="en-GB"/>
              </w:rPr>
              <w:t xml:space="preserve"> is a Party</w:t>
            </w:r>
            <w:r>
              <w:rPr>
                <w:rFonts w:cs="Calibri"/>
                <w:szCs w:val="20"/>
              </w:rPr>
              <w:t xml:space="preserve"> (micro)</w:t>
            </w:r>
            <w:r w:rsidRPr="00A261D6">
              <w:rPr>
                <w:rFonts w:cs="Calibri"/>
                <w:szCs w:val="20"/>
              </w:rPr>
              <w:t>.</w:t>
            </w:r>
          </w:p>
        </w:tc>
      </w:tr>
    </w:tbl>
    <w:p w14:paraId="53BBA9B7" w14:textId="77777777" w:rsidR="000F3DF0" w:rsidRPr="004767AA" w:rsidRDefault="000F3DF0" w:rsidP="000F3DF0"/>
    <w:p w14:paraId="616AB030" w14:textId="77777777" w:rsidR="000F3DF0" w:rsidRPr="004767AA" w:rsidRDefault="000F3DF0" w:rsidP="000F3DF0"/>
    <w:p w14:paraId="54F6120E" w14:textId="77777777" w:rsidR="000F3DF0" w:rsidRPr="004767AA" w:rsidRDefault="000F3DF0" w:rsidP="000F3DF0"/>
    <w:p w14:paraId="7F1F7D25" w14:textId="77777777" w:rsidR="000F3DF0" w:rsidRPr="004767AA" w:rsidRDefault="000F3DF0" w:rsidP="000F3DF0"/>
    <w:p w14:paraId="76110161" w14:textId="77777777" w:rsidR="000F3DF0" w:rsidRPr="00853D7A" w:rsidRDefault="000F3DF0" w:rsidP="000F3DF0"/>
    <w:p w14:paraId="056ED9B5" w14:textId="77777777" w:rsidR="000F3DF0" w:rsidRPr="00853D7A" w:rsidRDefault="000F3DF0" w:rsidP="000F3DF0"/>
    <w:p w14:paraId="08A2A4C9" w14:textId="77777777" w:rsidR="000F3DF0" w:rsidRPr="00853D7A" w:rsidRDefault="000F3DF0" w:rsidP="000F3DF0"/>
    <w:p w14:paraId="6298770D" w14:textId="77777777" w:rsidR="000F3DF0" w:rsidRDefault="000F3DF0" w:rsidP="000F3DF0"/>
    <w:p w14:paraId="0E1C2B3B" w14:textId="77777777" w:rsidR="000F3DF0" w:rsidRPr="00BC3466" w:rsidRDefault="000F3DF0" w:rsidP="000F3DF0"/>
    <w:p w14:paraId="69B3336C" w14:textId="77777777" w:rsidR="000F3DF0" w:rsidRPr="004767AA" w:rsidRDefault="000F3DF0" w:rsidP="000F3DF0"/>
    <w:p w14:paraId="1AC8B0E5" w14:textId="77777777" w:rsidR="000F3DF0" w:rsidRPr="004767AA" w:rsidRDefault="000F3DF0" w:rsidP="000F3DF0"/>
    <w:p w14:paraId="203701EF" w14:textId="77777777" w:rsidR="000F3DF0" w:rsidRPr="00853D7A" w:rsidRDefault="000F3DF0" w:rsidP="000F3DF0">
      <w:pPr>
        <w:pStyle w:val="Heading1"/>
      </w:pPr>
      <w:r w:rsidRPr="00853D7A">
        <w:t xml:space="preserve">Safeguard (b) Transparent and effective national forest governance structures, taking into account national legislation and sovereignty;  </w:t>
      </w:r>
    </w:p>
    <w:p w14:paraId="7951DEE6" w14:textId="77777777" w:rsidR="000F3DF0" w:rsidRPr="00853D7A" w:rsidRDefault="000F3DF0" w:rsidP="000F3DF0"/>
    <w:tbl>
      <w:tblPr>
        <w:tblW w:w="14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62"/>
        <w:gridCol w:w="4626"/>
        <w:gridCol w:w="5850"/>
        <w:tblGridChange w:id="23">
          <w:tblGrid>
            <w:gridCol w:w="70"/>
            <w:gridCol w:w="1206"/>
            <w:gridCol w:w="70"/>
            <w:gridCol w:w="2392"/>
            <w:gridCol w:w="70"/>
            <w:gridCol w:w="4556"/>
            <w:gridCol w:w="70"/>
            <w:gridCol w:w="5780"/>
            <w:gridCol w:w="70"/>
          </w:tblGrid>
        </w:tblGridChange>
      </w:tblGrid>
      <w:tr w:rsidR="000F3DF0" w:rsidRPr="00853D7A" w14:paraId="1F8B4290" w14:textId="77777777" w:rsidTr="00036A7C">
        <w:trPr>
          <w:trHeight w:val="876"/>
          <w:tblHeader/>
        </w:trPr>
        <w:tc>
          <w:tcPr>
            <w:tcW w:w="1276" w:type="dxa"/>
            <w:shd w:val="clear" w:color="auto" w:fill="auto"/>
          </w:tcPr>
          <w:p w14:paraId="54E11CC8" w14:textId="77777777" w:rsidR="000F3DF0" w:rsidRPr="00853D7A" w:rsidRDefault="000F3DF0" w:rsidP="00036A7C">
            <w:pPr>
              <w:rPr>
                <w:rFonts w:cs="Calibri"/>
                <w:b/>
                <w:sz w:val="20"/>
                <w:szCs w:val="20"/>
              </w:rPr>
            </w:pPr>
            <w:r w:rsidRPr="00853D7A">
              <w:rPr>
                <w:rFonts w:cs="Calibri"/>
                <w:b/>
                <w:sz w:val="20"/>
                <w:szCs w:val="20"/>
              </w:rPr>
              <w:t xml:space="preserve">Safeguard element  </w:t>
            </w:r>
          </w:p>
        </w:tc>
        <w:tc>
          <w:tcPr>
            <w:tcW w:w="2462" w:type="dxa"/>
            <w:shd w:val="clear" w:color="auto" w:fill="auto"/>
          </w:tcPr>
          <w:p w14:paraId="5B1A0EFA" w14:textId="77777777" w:rsidR="000F3DF0" w:rsidRPr="00853D7A" w:rsidRDefault="000F3DF0" w:rsidP="00036A7C">
            <w:pPr>
              <w:rPr>
                <w:rFonts w:cs="Calibri"/>
                <w:b/>
                <w:sz w:val="20"/>
                <w:szCs w:val="20"/>
              </w:rPr>
            </w:pPr>
            <w:r w:rsidRPr="00853D7A">
              <w:rPr>
                <w:rFonts w:cs="Calibri"/>
                <w:b/>
                <w:sz w:val="20"/>
                <w:szCs w:val="20"/>
              </w:rPr>
              <w:t>Safeguard sub-element (if applicable)</w:t>
            </w:r>
          </w:p>
          <w:p w14:paraId="11BD835C" w14:textId="77777777" w:rsidR="000F3DF0" w:rsidRPr="00853D7A" w:rsidRDefault="000F3DF0" w:rsidP="00036A7C">
            <w:pPr>
              <w:rPr>
                <w:rFonts w:cs="Calibri"/>
                <w:b/>
                <w:sz w:val="20"/>
                <w:szCs w:val="20"/>
              </w:rPr>
            </w:pPr>
          </w:p>
        </w:tc>
        <w:tc>
          <w:tcPr>
            <w:tcW w:w="4626" w:type="dxa"/>
          </w:tcPr>
          <w:p w14:paraId="2E652189" w14:textId="77777777" w:rsidR="000F3DF0" w:rsidRPr="00853D7A" w:rsidRDefault="000F3DF0" w:rsidP="00036A7C">
            <w:pPr>
              <w:rPr>
                <w:rFonts w:cs="Calibri"/>
                <w:b/>
                <w:sz w:val="20"/>
                <w:szCs w:val="20"/>
              </w:rPr>
            </w:pPr>
            <w:r w:rsidRPr="00853D7A">
              <w:rPr>
                <w:rFonts w:cs="Calibri"/>
                <w:b/>
                <w:sz w:val="20"/>
                <w:szCs w:val="20"/>
              </w:rPr>
              <w:t>Types of information that could be provided to demonstrate how the safeguard is being addressed</w:t>
            </w:r>
            <w:r>
              <w:rPr>
                <w:rFonts w:cs="Calibri"/>
                <w:b/>
                <w:sz w:val="20"/>
                <w:szCs w:val="20"/>
              </w:rPr>
              <w:t xml:space="preserve"> (measures)</w:t>
            </w:r>
          </w:p>
        </w:tc>
        <w:tc>
          <w:tcPr>
            <w:tcW w:w="5850" w:type="dxa"/>
          </w:tcPr>
          <w:p w14:paraId="78C458B0" w14:textId="77777777" w:rsidR="000F3DF0" w:rsidRPr="00853D7A" w:rsidRDefault="000F3DF0" w:rsidP="00036A7C">
            <w:pPr>
              <w:rPr>
                <w:rFonts w:cs="Calibri"/>
                <w:b/>
                <w:sz w:val="20"/>
                <w:szCs w:val="20"/>
              </w:rPr>
            </w:pPr>
            <w:r w:rsidRPr="00853D7A">
              <w:rPr>
                <w:rFonts w:cs="Calibri"/>
                <w:b/>
                <w:sz w:val="20"/>
                <w:szCs w:val="20"/>
              </w:rPr>
              <w:t>Types of information to be provided to demonstrate how the safeguard has been respected</w:t>
            </w:r>
            <w:r>
              <w:rPr>
                <w:rFonts w:cs="Calibri"/>
                <w:b/>
                <w:sz w:val="20"/>
                <w:szCs w:val="20"/>
              </w:rPr>
              <w:t xml:space="preserve"> (outcomes)</w:t>
            </w:r>
          </w:p>
        </w:tc>
      </w:tr>
      <w:tr w:rsidR="000F3DF0" w:rsidRPr="00853D7A" w14:paraId="436960C2" w14:textId="77777777" w:rsidTr="00036A7C">
        <w:trPr>
          <w:trHeight w:val="1943"/>
        </w:trPr>
        <w:tc>
          <w:tcPr>
            <w:tcW w:w="1276" w:type="dxa"/>
            <w:vMerge w:val="restart"/>
            <w:shd w:val="clear" w:color="auto" w:fill="auto"/>
          </w:tcPr>
          <w:p w14:paraId="3C855412" w14:textId="77777777" w:rsidR="000F3DF0" w:rsidRPr="00853D7A" w:rsidRDefault="000F3DF0" w:rsidP="00036A7C">
            <w:pPr>
              <w:rPr>
                <w:rFonts w:cs="Calibri"/>
                <w:b/>
                <w:sz w:val="20"/>
                <w:szCs w:val="20"/>
              </w:rPr>
            </w:pPr>
            <w:r w:rsidRPr="00853D7A">
              <w:rPr>
                <w:sz w:val="20"/>
                <w:szCs w:val="20"/>
              </w:rPr>
              <w:t>Transparent forest governance structures</w:t>
            </w:r>
          </w:p>
        </w:tc>
        <w:tc>
          <w:tcPr>
            <w:tcW w:w="2462" w:type="dxa"/>
            <w:shd w:val="clear" w:color="auto" w:fill="auto"/>
          </w:tcPr>
          <w:p w14:paraId="61F7147F" w14:textId="77777777" w:rsidR="000F3DF0" w:rsidRPr="00853D7A" w:rsidRDefault="000F3DF0" w:rsidP="00036A7C">
            <w:pPr>
              <w:rPr>
                <w:rFonts w:cs="Calibri"/>
                <w:sz w:val="20"/>
                <w:szCs w:val="20"/>
              </w:rPr>
            </w:pPr>
            <w:r w:rsidRPr="00853D7A">
              <w:rPr>
                <w:rFonts w:cs="Calibri"/>
                <w:sz w:val="20"/>
                <w:szCs w:val="20"/>
              </w:rPr>
              <w:t>Access to information</w:t>
            </w:r>
          </w:p>
        </w:tc>
        <w:tc>
          <w:tcPr>
            <w:tcW w:w="4626" w:type="dxa"/>
          </w:tcPr>
          <w:p w14:paraId="5EDA43CC" w14:textId="77777777" w:rsidR="000F3DF0" w:rsidRDefault="000F3DF0" w:rsidP="0039326F">
            <w:pPr>
              <w:pStyle w:val="FootnoteText"/>
              <w:numPr>
                <w:ilvl w:val="0"/>
                <w:numId w:val="23"/>
              </w:numPr>
              <w:jc w:val="left"/>
              <w:rPr>
                <w:sz w:val="20"/>
                <w:szCs w:val="20"/>
              </w:rPr>
            </w:pPr>
            <w:r w:rsidRPr="00853D7A">
              <w:rPr>
                <w:sz w:val="20"/>
                <w:szCs w:val="20"/>
              </w:rPr>
              <w:t>Description of how access to information</w:t>
            </w:r>
            <w:r>
              <w:rPr>
                <w:sz w:val="20"/>
                <w:szCs w:val="20"/>
              </w:rPr>
              <w:t xml:space="preserve"> (dissemination, dealing with requests)</w:t>
            </w:r>
            <w:r w:rsidRPr="00853D7A">
              <w:rPr>
                <w:sz w:val="20"/>
                <w:szCs w:val="20"/>
              </w:rPr>
              <w:t xml:space="preserve"> is regulated in Ghana (laws, procedures for requesting information, </w:t>
            </w:r>
            <w:r>
              <w:rPr>
                <w:sz w:val="20"/>
                <w:szCs w:val="20"/>
              </w:rPr>
              <w:t>institutional arrangements</w:t>
            </w:r>
            <w:r w:rsidRPr="00853D7A">
              <w:rPr>
                <w:sz w:val="20"/>
                <w:szCs w:val="20"/>
              </w:rPr>
              <w:t>)</w:t>
            </w:r>
          </w:p>
          <w:p w14:paraId="7667C604" w14:textId="77777777" w:rsidR="000F3DF0" w:rsidRPr="00853D7A" w:rsidRDefault="000F3DF0" w:rsidP="0039326F">
            <w:pPr>
              <w:pStyle w:val="FootnoteText"/>
              <w:numPr>
                <w:ilvl w:val="0"/>
                <w:numId w:val="23"/>
              </w:numPr>
              <w:jc w:val="left"/>
              <w:rPr>
                <w:sz w:val="20"/>
                <w:szCs w:val="20"/>
              </w:rPr>
            </w:pPr>
            <w:r>
              <w:rPr>
                <w:sz w:val="20"/>
                <w:szCs w:val="20"/>
              </w:rPr>
              <w:t>Description of REDD+ specific measures in place to deal access to information regarding a specific REDD+ intervention/PaM if additional to ones above</w:t>
            </w:r>
          </w:p>
          <w:p w14:paraId="062490A7" w14:textId="77777777" w:rsidR="000F3DF0" w:rsidRPr="00FF460E" w:rsidRDefault="000F3DF0" w:rsidP="0039326F">
            <w:pPr>
              <w:pStyle w:val="FootnoteText"/>
              <w:numPr>
                <w:ilvl w:val="0"/>
                <w:numId w:val="23"/>
              </w:numPr>
              <w:jc w:val="left"/>
              <w:rPr>
                <w:sz w:val="20"/>
                <w:szCs w:val="20"/>
              </w:rPr>
            </w:pPr>
            <w:r w:rsidRPr="00853D7A">
              <w:rPr>
                <w:sz w:val="20"/>
                <w:szCs w:val="20"/>
              </w:rPr>
              <w:t xml:space="preserve">Description of how information was disseminated during the </w:t>
            </w:r>
            <w:r>
              <w:rPr>
                <w:sz w:val="20"/>
                <w:szCs w:val="20"/>
              </w:rPr>
              <w:t>design</w:t>
            </w:r>
            <w:r w:rsidRPr="00853D7A">
              <w:rPr>
                <w:sz w:val="20"/>
                <w:szCs w:val="20"/>
              </w:rPr>
              <w:t xml:space="preserve"> of REDD+ policies</w:t>
            </w:r>
            <w:r>
              <w:rPr>
                <w:sz w:val="20"/>
                <w:szCs w:val="20"/>
              </w:rPr>
              <w:t>,</w:t>
            </w:r>
            <w:r w:rsidRPr="00853D7A">
              <w:rPr>
                <w:sz w:val="20"/>
                <w:szCs w:val="20"/>
              </w:rPr>
              <w:t xml:space="preserve"> interventions and projects (GRS, ERPD)</w:t>
            </w:r>
          </w:p>
        </w:tc>
        <w:tc>
          <w:tcPr>
            <w:tcW w:w="5850" w:type="dxa"/>
          </w:tcPr>
          <w:p w14:paraId="43CDFA42" w14:textId="77777777" w:rsidR="000F3DF0" w:rsidRPr="00602E91" w:rsidRDefault="000F3DF0" w:rsidP="00036A7C">
            <w:pPr>
              <w:rPr>
                <w:rFonts w:cs="Calibri"/>
                <w:b/>
                <w:sz w:val="20"/>
                <w:szCs w:val="20"/>
              </w:rPr>
            </w:pPr>
            <w:r w:rsidRPr="00853D7A">
              <w:rPr>
                <w:rFonts w:cs="Calibri"/>
                <w:b/>
                <w:sz w:val="20"/>
                <w:szCs w:val="20"/>
              </w:rPr>
              <w:t>Qualitative</w:t>
            </w:r>
          </w:p>
          <w:p w14:paraId="50069A88" w14:textId="77777777" w:rsidR="000F3DF0" w:rsidRDefault="000F3DF0" w:rsidP="0039326F">
            <w:pPr>
              <w:pStyle w:val="ListParagraph"/>
              <w:numPr>
                <w:ilvl w:val="0"/>
                <w:numId w:val="25"/>
              </w:numPr>
              <w:jc w:val="left"/>
              <w:rPr>
                <w:rFonts w:cs="Calibri"/>
                <w:szCs w:val="20"/>
              </w:rPr>
            </w:pPr>
            <w:r>
              <w:rPr>
                <w:rFonts w:cs="Calibri"/>
                <w:szCs w:val="20"/>
              </w:rPr>
              <w:t>Narrative description of the most frequent types of request for information received (information requested) and how these were dealt with.</w:t>
            </w:r>
          </w:p>
          <w:p w14:paraId="2863241B" w14:textId="77777777" w:rsidR="000F3DF0" w:rsidRPr="007C2941" w:rsidRDefault="000F3DF0" w:rsidP="00036A7C">
            <w:pPr>
              <w:pStyle w:val="ListParagraph"/>
              <w:ind w:left="360"/>
              <w:rPr>
                <w:rFonts w:cs="Calibri"/>
                <w:szCs w:val="20"/>
              </w:rPr>
            </w:pPr>
          </w:p>
          <w:p w14:paraId="7E6CEB55" w14:textId="77777777" w:rsidR="000F3DF0" w:rsidRPr="00602E91" w:rsidRDefault="000F3DF0" w:rsidP="00036A7C">
            <w:pPr>
              <w:rPr>
                <w:rFonts w:cs="Calibri"/>
                <w:b/>
                <w:sz w:val="20"/>
                <w:szCs w:val="20"/>
              </w:rPr>
            </w:pPr>
            <w:r w:rsidRPr="0004454C">
              <w:rPr>
                <w:rFonts w:cs="Calibri"/>
                <w:b/>
                <w:sz w:val="20"/>
                <w:szCs w:val="20"/>
              </w:rPr>
              <w:t>Quantitative</w:t>
            </w:r>
          </w:p>
          <w:p w14:paraId="338D1FAE" w14:textId="77777777" w:rsidR="000F3DF0" w:rsidRDefault="000F3DF0" w:rsidP="0039326F">
            <w:pPr>
              <w:pStyle w:val="ListParagraph"/>
              <w:numPr>
                <w:ilvl w:val="0"/>
                <w:numId w:val="25"/>
              </w:numPr>
              <w:jc w:val="left"/>
              <w:rPr>
                <w:rFonts w:cs="Calibri"/>
                <w:szCs w:val="20"/>
              </w:rPr>
            </w:pPr>
            <w:r>
              <w:rPr>
                <w:rFonts w:cs="Calibri"/>
                <w:szCs w:val="20"/>
              </w:rPr>
              <w:t>Number of requests for information</w:t>
            </w:r>
          </w:p>
          <w:p w14:paraId="48051D2B" w14:textId="77777777" w:rsidR="000F3DF0" w:rsidRDefault="000F3DF0" w:rsidP="0039326F">
            <w:pPr>
              <w:pStyle w:val="ListParagraph"/>
              <w:numPr>
                <w:ilvl w:val="0"/>
                <w:numId w:val="25"/>
              </w:numPr>
              <w:jc w:val="left"/>
              <w:rPr>
                <w:rFonts w:cs="Calibri"/>
                <w:szCs w:val="20"/>
              </w:rPr>
            </w:pPr>
            <w:r>
              <w:rPr>
                <w:rFonts w:cs="Calibri"/>
                <w:szCs w:val="20"/>
              </w:rPr>
              <w:t>Number of requests received/approved</w:t>
            </w:r>
          </w:p>
          <w:p w14:paraId="073CD4FD" w14:textId="77777777" w:rsidR="000F3DF0" w:rsidRPr="00AD2C89" w:rsidRDefault="000F3DF0" w:rsidP="0039326F">
            <w:pPr>
              <w:pStyle w:val="ListParagraph"/>
              <w:numPr>
                <w:ilvl w:val="0"/>
                <w:numId w:val="25"/>
              </w:numPr>
              <w:rPr>
                <w:rFonts w:cstheme="minorHAnsi"/>
                <w:color w:val="000000" w:themeColor="text1"/>
                <w:szCs w:val="20"/>
              </w:rPr>
            </w:pPr>
            <w:r>
              <w:rPr>
                <w:rFonts w:cstheme="minorHAnsi"/>
                <w:color w:val="000000" w:themeColor="text1"/>
                <w:szCs w:val="20"/>
              </w:rPr>
              <w:t>Percentage dealt with vs received, average delay</w:t>
            </w:r>
          </w:p>
          <w:p w14:paraId="43C3A3A2" w14:textId="77777777" w:rsidR="000F3DF0" w:rsidRPr="00853D7A" w:rsidRDefault="000F3DF0" w:rsidP="00036A7C">
            <w:pPr>
              <w:pStyle w:val="ListParagraph"/>
              <w:ind w:left="360"/>
              <w:rPr>
                <w:rFonts w:cs="Calibri"/>
                <w:szCs w:val="20"/>
              </w:rPr>
            </w:pPr>
          </w:p>
        </w:tc>
      </w:tr>
      <w:tr w:rsidR="000F3DF0" w:rsidRPr="00853D7A" w14:paraId="586E638B" w14:textId="77777777" w:rsidTr="00036A7C">
        <w:trPr>
          <w:trHeight w:val="341"/>
        </w:trPr>
        <w:tc>
          <w:tcPr>
            <w:tcW w:w="1276" w:type="dxa"/>
            <w:vMerge/>
            <w:shd w:val="clear" w:color="auto" w:fill="auto"/>
          </w:tcPr>
          <w:p w14:paraId="3CB1C353" w14:textId="77777777" w:rsidR="000F3DF0" w:rsidRPr="00037A2F" w:rsidRDefault="000F3DF0" w:rsidP="00036A7C">
            <w:pPr>
              <w:rPr>
                <w:sz w:val="20"/>
                <w:szCs w:val="20"/>
              </w:rPr>
            </w:pPr>
          </w:p>
        </w:tc>
        <w:tc>
          <w:tcPr>
            <w:tcW w:w="2462" w:type="dxa"/>
            <w:shd w:val="clear" w:color="auto" w:fill="auto"/>
          </w:tcPr>
          <w:p w14:paraId="0A9F209F" w14:textId="77777777" w:rsidR="000F3DF0" w:rsidRPr="00037A2F" w:rsidRDefault="000F3DF0" w:rsidP="00036A7C">
            <w:pPr>
              <w:rPr>
                <w:rFonts w:cs="Calibri"/>
                <w:sz w:val="20"/>
                <w:szCs w:val="20"/>
              </w:rPr>
            </w:pPr>
            <w:r w:rsidRPr="00037A2F">
              <w:rPr>
                <w:rFonts w:cs="Calibri"/>
                <w:sz w:val="20"/>
                <w:szCs w:val="20"/>
              </w:rPr>
              <w:t>Corruption control</w:t>
            </w:r>
          </w:p>
        </w:tc>
        <w:tc>
          <w:tcPr>
            <w:tcW w:w="4626" w:type="dxa"/>
          </w:tcPr>
          <w:p w14:paraId="15B32298" w14:textId="77777777" w:rsidR="000F3DF0" w:rsidRDefault="000F3DF0" w:rsidP="0039326F">
            <w:pPr>
              <w:pStyle w:val="ListParagraph"/>
              <w:numPr>
                <w:ilvl w:val="0"/>
                <w:numId w:val="25"/>
              </w:numPr>
              <w:jc w:val="left"/>
              <w:rPr>
                <w:rFonts w:cs="Calibri"/>
                <w:szCs w:val="20"/>
              </w:rPr>
            </w:pPr>
            <w:r w:rsidRPr="00853D7A">
              <w:rPr>
                <w:rFonts w:cs="Calibri"/>
                <w:szCs w:val="20"/>
              </w:rPr>
              <w:t>Description of how corruption is regulated</w:t>
            </w:r>
            <w:r>
              <w:rPr>
                <w:rFonts w:cs="Calibri"/>
                <w:szCs w:val="20"/>
              </w:rPr>
              <w:t xml:space="preserve"> (illegal acts, codes of conduct, transparency in budget allocation, public procurement etc.)</w:t>
            </w:r>
            <w:r w:rsidRPr="00853D7A">
              <w:rPr>
                <w:rFonts w:cs="Calibri"/>
                <w:szCs w:val="20"/>
              </w:rPr>
              <w:t xml:space="preserve"> in Ghana (laws</w:t>
            </w:r>
            <w:r>
              <w:rPr>
                <w:rFonts w:cs="Calibri"/>
                <w:szCs w:val="20"/>
              </w:rPr>
              <w:t>, procedures</w:t>
            </w:r>
            <w:r w:rsidRPr="00853D7A">
              <w:rPr>
                <w:rFonts w:cs="Calibri"/>
                <w:szCs w:val="20"/>
              </w:rPr>
              <w:t xml:space="preserve"> and institutional arrangements</w:t>
            </w:r>
            <w:r>
              <w:rPr>
                <w:rFonts w:cs="Calibri"/>
                <w:szCs w:val="20"/>
              </w:rPr>
              <w:t>.</w:t>
            </w:r>
            <w:r w:rsidRPr="00853D7A">
              <w:rPr>
                <w:rFonts w:cs="Calibri"/>
                <w:szCs w:val="20"/>
              </w:rPr>
              <w:t>)</w:t>
            </w:r>
          </w:p>
          <w:p w14:paraId="1442E8DA" w14:textId="77777777" w:rsidR="000F3DF0" w:rsidRPr="00853D7A" w:rsidRDefault="000F3DF0" w:rsidP="0039326F">
            <w:pPr>
              <w:pStyle w:val="FootnoteText"/>
              <w:numPr>
                <w:ilvl w:val="0"/>
                <w:numId w:val="23"/>
              </w:numPr>
              <w:jc w:val="left"/>
              <w:rPr>
                <w:sz w:val="20"/>
                <w:szCs w:val="20"/>
              </w:rPr>
            </w:pPr>
            <w:r w:rsidRPr="00853D7A">
              <w:rPr>
                <w:sz w:val="20"/>
                <w:szCs w:val="20"/>
              </w:rPr>
              <w:t>Description of REDD+ specific measures in place to deal with corruption</w:t>
            </w:r>
            <w:r>
              <w:rPr>
                <w:szCs w:val="20"/>
              </w:rPr>
              <w:t xml:space="preserve"> </w:t>
            </w:r>
            <w:r>
              <w:rPr>
                <w:sz w:val="20"/>
                <w:szCs w:val="20"/>
              </w:rPr>
              <w:t>if additional to ones above</w:t>
            </w:r>
          </w:p>
          <w:p w14:paraId="65EBBF8C" w14:textId="77777777" w:rsidR="000F3DF0" w:rsidRPr="00853D7A" w:rsidRDefault="000F3DF0" w:rsidP="00036A7C">
            <w:pPr>
              <w:pStyle w:val="ListParagraph"/>
              <w:ind w:left="360"/>
              <w:rPr>
                <w:rFonts w:cs="Calibri"/>
                <w:szCs w:val="20"/>
              </w:rPr>
            </w:pPr>
          </w:p>
          <w:p w14:paraId="20203B39" w14:textId="77777777" w:rsidR="000F3DF0" w:rsidRPr="00853D7A" w:rsidRDefault="000F3DF0" w:rsidP="00036A7C">
            <w:pPr>
              <w:ind w:left="180"/>
              <w:rPr>
                <w:rFonts w:cs="Calibri"/>
                <w:strike/>
                <w:sz w:val="20"/>
                <w:szCs w:val="20"/>
              </w:rPr>
            </w:pPr>
          </w:p>
        </w:tc>
        <w:tc>
          <w:tcPr>
            <w:tcW w:w="5850" w:type="dxa"/>
          </w:tcPr>
          <w:p w14:paraId="0F8CB9A0" w14:textId="77777777" w:rsidR="000F3DF0" w:rsidRPr="00602E91" w:rsidRDefault="000F3DF0" w:rsidP="00036A7C">
            <w:pPr>
              <w:rPr>
                <w:rFonts w:cs="Calibri"/>
                <w:b/>
                <w:sz w:val="20"/>
                <w:szCs w:val="20"/>
              </w:rPr>
            </w:pPr>
            <w:r w:rsidRPr="0004454C">
              <w:rPr>
                <w:rFonts w:cs="Calibri"/>
                <w:b/>
                <w:sz w:val="20"/>
                <w:szCs w:val="20"/>
              </w:rPr>
              <w:t>Qualitative</w:t>
            </w:r>
          </w:p>
          <w:p w14:paraId="24B9E048" w14:textId="77777777" w:rsidR="000F3DF0" w:rsidRPr="00C57DAC" w:rsidRDefault="000F3DF0" w:rsidP="0039326F">
            <w:pPr>
              <w:pStyle w:val="ListParagraph"/>
              <w:numPr>
                <w:ilvl w:val="0"/>
                <w:numId w:val="23"/>
              </w:numPr>
              <w:jc w:val="left"/>
              <w:rPr>
                <w:rFonts w:cs="Calibri"/>
                <w:szCs w:val="20"/>
              </w:rPr>
            </w:pPr>
            <w:r w:rsidRPr="00C57DAC">
              <w:rPr>
                <w:rFonts w:cs="Calibri"/>
                <w:szCs w:val="20"/>
              </w:rPr>
              <w:t>Description on measures taken to implement the anti-corruption action plan.</w:t>
            </w:r>
          </w:p>
          <w:p w14:paraId="09DDE3A1" w14:textId="77777777" w:rsidR="000F3DF0" w:rsidRPr="00947A91" w:rsidRDefault="000F3DF0" w:rsidP="0039326F">
            <w:pPr>
              <w:pStyle w:val="ListParagraph"/>
              <w:numPr>
                <w:ilvl w:val="0"/>
                <w:numId w:val="23"/>
              </w:numPr>
              <w:jc w:val="left"/>
              <w:rPr>
                <w:rFonts w:cs="Calibri"/>
                <w:szCs w:val="20"/>
              </w:rPr>
            </w:pPr>
            <w:r w:rsidRPr="00C57DAC">
              <w:rPr>
                <w:rFonts w:cs="Calibri"/>
                <w:szCs w:val="20"/>
              </w:rPr>
              <w:t xml:space="preserve">Description of how REDD+ finance (readiness, implementation and results) has been spent </w:t>
            </w:r>
          </w:p>
          <w:p w14:paraId="2072572E" w14:textId="77777777" w:rsidR="000F3DF0" w:rsidRPr="00C57DAC" w:rsidRDefault="000F3DF0" w:rsidP="0039326F">
            <w:pPr>
              <w:pStyle w:val="ListParagraph"/>
              <w:numPr>
                <w:ilvl w:val="0"/>
                <w:numId w:val="23"/>
              </w:numPr>
              <w:jc w:val="left"/>
              <w:rPr>
                <w:rFonts w:cs="Calibri"/>
                <w:szCs w:val="20"/>
              </w:rPr>
            </w:pPr>
            <w:r>
              <w:rPr>
                <w:rFonts w:cs="Calibri"/>
                <w:szCs w:val="20"/>
              </w:rPr>
              <w:t>Description of REDD+ related procurement processes followed (outcomes)</w:t>
            </w:r>
          </w:p>
          <w:p w14:paraId="5D874252" w14:textId="77777777" w:rsidR="000F3DF0" w:rsidRDefault="000F3DF0" w:rsidP="0039326F">
            <w:pPr>
              <w:pStyle w:val="ListParagraph"/>
              <w:numPr>
                <w:ilvl w:val="0"/>
                <w:numId w:val="23"/>
              </w:numPr>
              <w:jc w:val="left"/>
              <w:rPr>
                <w:rFonts w:cs="Calibri"/>
                <w:szCs w:val="20"/>
              </w:rPr>
            </w:pPr>
            <w:r>
              <w:rPr>
                <w:rFonts w:cs="Calibri"/>
                <w:szCs w:val="20"/>
              </w:rPr>
              <w:t>Description</w:t>
            </w:r>
            <w:r w:rsidRPr="00C57DAC">
              <w:rPr>
                <w:rFonts w:cs="Calibri"/>
                <w:szCs w:val="20"/>
              </w:rPr>
              <w:t xml:space="preserve"> of any REDD+ related denunciation of public officials for corruption, any corruption related disputes, or investigations by the mandated agencies as well as their outcomes</w:t>
            </w:r>
          </w:p>
          <w:p w14:paraId="29082FFD" w14:textId="77777777" w:rsidR="000F3DF0" w:rsidRPr="00602E91" w:rsidRDefault="000F3DF0" w:rsidP="00036A7C">
            <w:pPr>
              <w:pStyle w:val="ListParagraph"/>
              <w:ind w:left="360"/>
              <w:rPr>
                <w:rFonts w:cs="Calibri"/>
                <w:szCs w:val="20"/>
              </w:rPr>
            </w:pPr>
          </w:p>
          <w:p w14:paraId="3A25BB7A" w14:textId="77777777" w:rsidR="000F3DF0" w:rsidRPr="001A7EC7" w:rsidRDefault="000F3DF0" w:rsidP="00036A7C">
            <w:pPr>
              <w:rPr>
                <w:rFonts w:cs="Calibri"/>
                <w:b/>
                <w:sz w:val="20"/>
                <w:szCs w:val="20"/>
              </w:rPr>
            </w:pPr>
            <w:r w:rsidRPr="001A7EC7">
              <w:rPr>
                <w:rFonts w:cs="Calibri"/>
                <w:b/>
                <w:sz w:val="20"/>
                <w:szCs w:val="20"/>
              </w:rPr>
              <w:t>Quantitative</w:t>
            </w:r>
          </w:p>
          <w:p w14:paraId="5496047F" w14:textId="77777777" w:rsidR="000F3DF0" w:rsidRPr="0004454C" w:rsidRDefault="000F3DF0" w:rsidP="0039326F">
            <w:pPr>
              <w:pStyle w:val="ListParagraph"/>
              <w:numPr>
                <w:ilvl w:val="0"/>
                <w:numId w:val="23"/>
              </w:numPr>
              <w:rPr>
                <w:rFonts w:cstheme="minorHAnsi"/>
                <w:color w:val="000000" w:themeColor="text1"/>
                <w:szCs w:val="20"/>
              </w:rPr>
            </w:pPr>
            <w:r>
              <w:rPr>
                <w:rFonts w:cstheme="minorHAnsi"/>
                <w:color w:val="000000" w:themeColor="text1"/>
                <w:szCs w:val="20"/>
              </w:rPr>
              <w:lastRenderedPageBreak/>
              <w:t>Description/statistics of</w:t>
            </w:r>
            <w:r w:rsidRPr="0004454C">
              <w:rPr>
                <w:rFonts w:cstheme="minorHAnsi"/>
                <w:color w:val="000000" w:themeColor="text1"/>
                <w:szCs w:val="20"/>
              </w:rPr>
              <w:t xml:space="preserve"> how REDD+ finance (readiness, implementation and results) has been spent (internal and</w:t>
            </w:r>
            <w:r>
              <w:rPr>
                <w:rFonts w:cstheme="minorHAnsi"/>
                <w:color w:val="000000" w:themeColor="text1"/>
                <w:szCs w:val="20"/>
              </w:rPr>
              <w:t xml:space="preserve"> </w:t>
            </w:r>
            <w:r w:rsidRPr="0004454C">
              <w:rPr>
                <w:rFonts w:cstheme="minorHAnsi"/>
                <w:color w:val="000000" w:themeColor="text1"/>
                <w:szCs w:val="20"/>
              </w:rPr>
              <w:t>external annual audits, projected budgets, audited spending reports)</w:t>
            </w:r>
          </w:p>
          <w:p w14:paraId="1A37596D" w14:textId="77777777" w:rsidR="000F3DF0" w:rsidRPr="0004454C" w:rsidRDefault="000F3DF0" w:rsidP="00036A7C">
            <w:pPr>
              <w:rPr>
                <w:rFonts w:cs="Calibri"/>
                <w:sz w:val="20"/>
                <w:szCs w:val="20"/>
              </w:rPr>
            </w:pPr>
          </w:p>
        </w:tc>
      </w:tr>
      <w:tr w:rsidR="000F3DF0" w:rsidRPr="00853D7A" w14:paraId="71A2B1A6" w14:textId="77777777" w:rsidTr="00036A7C">
        <w:trPr>
          <w:trHeight w:val="7199"/>
        </w:trPr>
        <w:tc>
          <w:tcPr>
            <w:tcW w:w="1276" w:type="dxa"/>
            <w:vMerge w:val="restart"/>
            <w:shd w:val="clear" w:color="auto" w:fill="auto"/>
          </w:tcPr>
          <w:p w14:paraId="1DEDA723" w14:textId="77777777" w:rsidR="000F3DF0" w:rsidRPr="0004454C" w:rsidRDefault="000F3DF0" w:rsidP="00036A7C">
            <w:pPr>
              <w:rPr>
                <w:rFonts w:cs="Calibri"/>
                <w:sz w:val="20"/>
                <w:szCs w:val="20"/>
              </w:rPr>
            </w:pPr>
            <w:r w:rsidRPr="0004454C">
              <w:rPr>
                <w:rFonts w:cs="Calibri"/>
                <w:sz w:val="20"/>
                <w:szCs w:val="20"/>
              </w:rPr>
              <w:lastRenderedPageBreak/>
              <w:t>Effective forest governance structures</w:t>
            </w:r>
          </w:p>
        </w:tc>
        <w:tc>
          <w:tcPr>
            <w:tcW w:w="2462" w:type="dxa"/>
            <w:shd w:val="clear" w:color="auto" w:fill="auto"/>
          </w:tcPr>
          <w:p w14:paraId="4131A2CF" w14:textId="77777777" w:rsidR="000F3DF0" w:rsidRPr="0004454C" w:rsidRDefault="000F3DF0" w:rsidP="00036A7C">
            <w:pPr>
              <w:pStyle w:val="FootnoteText"/>
              <w:rPr>
                <w:rFonts w:cs="Calibri"/>
                <w:b/>
                <w:sz w:val="20"/>
                <w:szCs w:val="20"/>
              </w:rPr>
            </w:pPr>
            <w:r w:rsidRPr="0004454C">
              <w:rPr>
                <w:rFonts w:cs="Calibri"/>
                <w:sz w:val="20"/>
                <w:szCs w:val="20"/>
              </w:rPr>
              <w:t xml:space="preserve">Forest land tenure </w:t>
            </w:r>
          </w:p>
        </w:tc>
        <w:tc>
          <w:tcPr>
            <w:tcW w:w="4626" w:type="dxa"/>
          </w:tcPr>
          <w:p w14:paraId="283FC8C6" w14:textId="77777777" w:rsidR="000F3DF0" w:rsidRDefault="000F3DF0" w:rsidP="0039326F">
            <w:pPr>
              <w:pStyle w:val="FootnoteText"/>
              <w:numPr>
                <w:ilvl w:val="0"/>
                <w:numId w:val="23"/>
              </w:numPr>
              <w:jc w:val="left"/>
              <w:rPr>
                <w:rFonts w:cs="Calibri"/>
                <w:sz w:val="20"/>
                <w:szCs w:val="20"/>
              </w:rPr>
            </w:pPr>
            <w:r w:rsidRPr="0004454C">
              <w:rPr>
                <w:rFonts w:cs="Calibri"/>
                <w:sz w:val="20"/>
                <w:szCs w:val="20"/>
              </w:rPr>
              <w:t>Description of how tenure (ownership and access rights</w:t>
            </w:r>
            <w:r>
              <w:rPr>
                <w:rFonts w:cs="Calibri"/>
                <w:sz w:val="20"/>
                <w:szCs w:val="20"/>
              </w:rPr>
              <w:t>, resettlement</w:t>
            </w:r>
            <w:r w:rsidRPr="0004454C">
              <w:rPr>
                <w:rFonts w:cs="Calibri"/>
                <w:sz w:val="20"/>
                <w:szCs w:val="20"/>
              </w:rPr>
              <w:t>) over forest land are regulated in Ghana</w:t>
            </w:r>
            <w:r>
              <w:rPr>
                <w:rFonts w:cs="Calibri"/>
                <w:sz w:val="20"/>
                <w:szCs w:val="20"/>
              </w:rPr>
              <w:t xml:space="preserve"> (laws, institutions)</w:t>
            </w:r>
          </w:p>
          <w:p w14:paraId="32062B26" w14:textId="77777777" w:rsidR="000F3DF0" w:rsidRPr="0004454C" w:rsidRDefault="000F3DF0" w:rsidP="0039326F">
            <w:pPr>
              <w:pStyle w:val="FootnoteText"/>
              <w:numPr>
                <w:ilvl w:val="0"/>
                <w:numId w:val="23"/>
              </w:numPr>
              <w:jc w:val="left"/>
              <w:rPr>
                <w:rFonts w:cs="Calibri"/>
                <w:sz w:val="20"/>
                <w:szCs w:val="20"/>
              </w:rPr>
            </w:pPr>
            <w:r w:rsidRPr="00853D7A">
              <w:rPr>
                <w:sz w:val="20"/>
                <w:szCs w:val="20"/>
              </w:rPr>
              <w:t>Description of REDD+ specific measures in place to deal with</w:t>
            </w:r>
            <w:r>
              <w:rPr>
                <w:sz w:val="20"/>
                <w:szCs w:val="20"/>
              </w:rPr>
              <w:t xml:space="preserve"> forest land tenure if additional</w:t>
            </w:r>
          </w:p>
          <w:p w14:paraId="31B214C4" w14:textId="77777777" w:rsidR="000F3DF0" w:rsidRPr="0004454C" w:rsidRDefault="000F3DF0" w:rsidP="0039326F">
            <w:pPr>
              <w:pStyle w:val="FootnoteText"/>
              <w:numPr>
                <w:ilvl w:val="0"/>
                <w:numId w:val="23"/>
              </w:numPr>
              <w:jc w:val="left"/>
              <w:rPr>
                <w:rFonts w:cs="Calibri"/>
                <w:sz w:val="20"/>
                <w:szCs w:val="20"/>
              </w:rPr>
            </w:pPr>
            <w:r w:rsidRPr="0004454C">
              <w:rPr>
                <w:rFonts w:cs="Calibri"/>
                <w:sz w:val="20"/>
                <w:szCs w:val="20"/>
              </w:rPr>
              <w:t>Description/mapping of existing tenure arrangements within the REDD+ intervention areas</w:t>
            </w:r>
          </w:p>
        </w:tc>
        <w:tc>
          <w:tcPr>
            <w:tcW w:w="5850" w:type="dxa"/>
          </w:tcPr>
          <w:p w14:paraId="17D37361" w14:textId="77777777" w:rsidR="000F3DF0" w:rsidRPr="007C2941" w:rsidRDefault="000F3DF0" w:rsidP="00036A7C">
            <w:pPr>
              <w:pStyle w:val="FootnoteText"/>
              <w:rPr>
                <w:rFonts w:cs="Courier New"/>
                <w:b/>
                <w:color w:val="212121"/>
                <w:sz w:val="20"/>
                <w:szCs w:val="20"/>
              </w:rPr>
            </w:pPr>
            <w:r w:rsidRPr="007C2941">
              <w:rPr>
                <w:rFonts w:cs="Courier New"/>
                <w:b/>
                <w:color w:val="212121"/>
                <w:sz w:val="20"/>
                <w:szCs w:val="20"/>
              </w:rPr>
              <w:t>Qualitative</w:t>
            </w:r>
          </w:p>
          <w:p w14:paraId="25FE115A" w14:textId="77777777" w:rsidR="000F3DF0" w:rsidRDefault="000F3DF0" w:rsidP="0039326F">
            <w:pPr>
              <w:pStyle w:val="FootnoteText"/>
              <w:numPr>
                <w:ilvl w:val="0"/>
                <w:numId w:val="24"/>
              </w:numPr>
              <w:ind w:left="360"/>
              <w:jc w:val="left"/>
              <w:rPr>
                <w:rFonts w:cs="Courier New"/>
                <w:color w:val="212121"/>
                <w:sz w:val="20"/>
                <w:szCs w:val="20"/>
              </w:rPr>
            </w:pPr>
            <w:r w:rsidRPr="00602E91">
              <w:rPr>
                <w:rFonts w:cs="Courier New"/>
                <w:color w:val="212121"/>
                <w:sz w:val="20"/>
                <w:szCs w:val="20"/>
              </w:rPr>
              <w:t>Description/evidence of how existing land use rights have been recognised and protected during the implementation of REDD+</w:t>
            </w:r>
            <w:r>
              <w:rPr>
                <w:rFonts w:cs="Courier New"/>
                <w:color w:val="212121"/>
                <w:sz w:val="20"/>
                <w:szCs w:val="20"/>
              </w:rPr>
              <w:t xml:space="preserve"> (macro)</w:t>
            </w:r>
          </w:p>
          <w:p w14:paraId="1EEC7D9E" w14:textId="77777777" w:rsidR="000F3DF0" w:rsidRDefault="000F3DF0" w:rsidP="0039326F">
            <w:pPr>
              <w:pStyle w:val="FootnoteText"/>
              <w:numPr>
                <w:ilvl w:val="0"/>
                <w:numId w:val="24"/>
              </w:numPr>
              <w:ind w:left="360"/>
              <w:jc w:val="left"/>
              <w:rPr>
                <w:rFonts w:cs="Courier New"/>
                <w:color w:val="212121"/>
                <w:sz w:val="20"/>
                <w:szCs w:val="20"/>
              </w:rPr>
            </w:pPr>
            <w:r w:rsidRPr="00602E91">
              <w:rPr>
                <w:rFonts w:cs="Courier New"/>
                <w:color w:val="000000" w:themeColor="text1"/>
                <w:sz w:val="20"/>
                <w:szCs w:val="20"/>
                <w:lang w:val="en"/>
              </w:rPr>
              <w:t>If applicable</w:t>
            </w:r>
            <w:r>
              <w:rPr>
                <w:rFonts w:cs="Courier New"/>
                <w:color w:val="000000" w:themeColor="text1"/>
                <w:sz w:val="20"/>
                <w:szCs w:val="20"/>
                <w:lang w:val="en"/>
              </w:rPr>
              <w:t>,</w:t>
            </w:r>
            <w:r w:rsidRPr="00602E91">
              <w:rPr>
                <w:rFonts w:cs="Courier New"/>
                <w:color w:val="000000" w:themeColor="text1"/>
                <w:sz w:val="20"/>
                <w:szCs w:val="20"/>
                <w:lang w:val="en"/>
              </w:rPr>
              <w:t xml:space="preserve"> description of any resettlement process</w:t>
            </w:r>
            <w:r>
              <w:rPr>
                <w:rFonts w:cs="Courier New"/>
                <w:color w:val="000000" w:themeColor="text1"/>
                <w:sz w:val="20"/>
                <w:szCs w:val="20"/>
                <w:lang w:val="en"/>
              </w:rPr>
              <w:t>es that took place (macro)</w:t>
            </w:r>
          </w:p>
          <w:p w14:paraId="719BDAA8" w14:textId="77777777" w:rsidR="000F3DF0" w:rsidRDefault="000F3DF0" w:rsidP="0039326F">
            <w:pPr>
              <w:pStyle w:val="FootnoteText"/>
              <w:numPr>
                <w:ilvl w:val="0"/>
                <w:numId w:val="24"/>
              </w:numPr>
              <w:ind w:left="360"/>
              <w:jc w:val="left"/>
              <w:rPr>
                <w:rFonts w:cs="Courier New"/>
                <w:color w:val="212121"/>
                <w:sz w:val="20"/>
                <w:szCs w:val="20"/>
              </w:rPr>
            </w:pPr>
            <w:r w:rsidRPr="00602E91">
              <w:rPr>
                <w:rFonts w:cs="Courier New"/>
                <w:color w:val="212121"/>
                <w:sz w:val="20"/>
                <w:szCs w:val="20"/>
              </w:rPr>
              <w:t xml:space="preserve">Description/evidence of how existing land use rights have been recognised and protected during the implementation of </w:t>
            </w:r>
            <w:r>
              <w:rPr>
                <w:rFonts w:cs="Courier New"/>
                <w:color w:val="212121"/>
                <w:sz w:val="20"/>
                <w:szCs w:val="20"/>
              </w:rPr>
              <w:t xml:space="preserve">the specific </w:t>
            </w:r>
            <w:r w:rsidRPr="00602E91">
              <w:rPr>
                <w:rFonts w:cs="Courier New"/>
                <w:color w:val="212121"/>
                <w:sz w:val="20"/>
                <w:szCs w:val="20"/>
              </w:rPr>
              <w:t>REDD+</w:t>
            </w:r>
            <w:r>
              <w:rPr>
                <w:rFonts w:cs="Courier New"/>
                <w:color w:val="212121"/>
                <w:sz w:val="20"/>
                <w:szCs w:val="20"/>
              </w:rPr>
              <w:t xml:space="preserve"> intervention/PaM (micro)</w:t>
            </w:r>
          </w:p>
          <w:p w14:paraId="03204B15" w14:textId="77777777" w:rsidR="000F3DF0" w:rsidRPr="00602E91" w:rsidRDefault="000F3DF0" w:rsidP="0039326F">
            <w:pPr>
              <w:pStyle w:val="FootnoteText"/>
              <w:numPr>
                <w:ilvl w:val="0"/>
                <w:numId w:val="24"/>
              </w:numPr>
              <w:ind w:left="360"/>
              <w:jc w:val="left"/>
              <w:rPr>
                <w:rFonts w:cs="Courier New"/>
                <w:color w:val="212121"/>
                <w:sz w:val="20"/>
                <w:szCs w:val="20"/>
              </w:rPr>
            </w:pPr>
            <w:r w:rsidRPr="00602E91">
              <w:rPr>
                <w:rFonts w:cs="Courier New"/>
                <w:color w:val="000000" w:themeColor="text1"/>
                <w:sz w:val="20"/>
                <w:szCs w:val="20"/>
                <w:lang w:val="en"/>
              </w:rPr>
              <w:t xml:space="preserve">If applicable, description of any resettlement process (including procedures followed and compensation provided) </w:t>
            </w:r>
            <w:r>
              <w:rPr>
                <w:rFonts w:cs="Courier New"/>
                <w:color w:val="000000" w:themeColor="text1"/>
                <w:sz w:val="20"/>
                <w:szCs w:val="20"/>
                <w:lang w:val="en"/>
              </w:rPr>
              <w:t>for the specific REDD+ intervention/PaM (micro)</w:t>
            </w:r>
            <w:r w:rsidRPr="00602E91">
              <w:rPr>
                <w:rFonts w:cs="Courier New"/>
                <w:color w:val="000000" w:themeColor="text1"/>
                <w:sz w:val="20"/>
                <w:szCs w:val="20"/>
                <w:lang w:val="en"/>
              </w:rPr>
              <w:t>.</w:t>
            </w:r>
          </w:p>
          <w:p w14:paraId="08ED1569" w14:textId="77777777" w:rsidR="000F3DF0" w:rsidRDefault="000F3DF0" w:rsidP="00036A7C">
            <w:pPr>
              <w:pStyle w:val="FootnoteText"/>
              <w:rPr>
                <w:rFonts w:cs="Calibri"/>
                <w:b/>
                <w:sz w:val="20"/>
                <w:szCs w:val="20"/>
              </w:rPr>
            </w:pPr>
          </w:p>
          <w:p w14:paraId="0A5B1A24" w14:textId="77777777" w:rsidR="000F3DF0" w:rsidRDefault="000F3DF0" w:rsidP="00036A7C">
            <w:pPr>
              <w:pStyle w:val="FootnoteText"/>
              <w:rPr>
                <w:rFonts w:cs="Calibri"/>
                <w:b/>
                <w:sz w:val="20"/>
                <w:szCs w:val="20"/>
              </w:rPr>
            </w:pPr>
            <w:r>
              <w:rPr>
                <w:rFonts w:cs="Calibri"/>
                <w:b/>
                <w:sz w:val="20"/>
                <w:szCs w:val="20"/>
              </w:rPr>
              <w:t>Quantitative</w:t>
            </w:r>
          </w:p>
          <w:p w14:paraId="64069C00" w14:textId="77777777" w:rsidR="000F3DF0" w:rsidRDefault="000F3DF0" w:rsidP="0039326F">
            <w:pPr>
              <w:pStyle w:val="FootnoteText"/>
              <w:numPr>
                <w:ilvl w:val="0"/>
                <w:numId w:val="27"/>
              </w:numPr>
              <w:jc w:val="left"/>
              <w:rPr>
                <w:rFonts w:cs="Courier New"/>
                <w:color w:val="000000" w:themeColor="text1"/>
                <w:sz w:val="20"/>
                <w:szCs w:val="20"/>
              </w:rPr>
            </w:pPr>
            <w:r>
              <w:rPr>
                <w:rFonts w:cs="Courier New"/>
                <w:color w:val="000000" w:themeColor="text1"/>
                <w:sz w:val="20"/>
                <w:szCs w:val="20"/>
              </w:rPr>
              <w:t>N</w:t>
            </w:r>
            <w:r w:rsidRPr="00AD2C89">
              <w:rPr>
                <w:rFonts w:cs="Courier New"/>
                <w:color w:val="000000" w:themeColor="text1"/>
                <w:sz w:val="20"/>
                <w:szCs w:val="20"/>
              </w:rPr>
              <w:t xml:space="preserve">umber of </w:t>
            </w:r>
            <w:r>
              <w:rPr>
                <w:rFonts w:cs="Courier New"/>
                <w:color w:val="000000" w:themeColor="text1"/>
                <w:sz w:val="20"/>
                <w:szCs w:val="20"/>
              </w:rPr>
              <w:t>statutory/</w:t>
            </w:r>
            <w:r w:rsidRPr="00AD2C89">
              <w:rPr>
                <w:rFonts w:cs="Courier New"/>
                <w:color w:val="000000" w:themeColor="text1"/>
                <w:sz w:val="20"/>
                <w:szCs w:val="20"/>
              </w:rPr>
              <w:t>customary rights holders in the area before and after REDD+ interventions</w:t>
            </w:r>
          </w:p>
          <w:p w14:paraId="6C9BA123" w14:textId="77777777" w:rsidR="000F3DF0" w:rsidRDefault="000F3DF0" w:rsidP="0039326F">
            <w:pPr>
              <w:pStyle w:val="FootnoteText"/>
              <w:numPr>
                <w:ilvl w:val="0"/>
                <w:numId w:val="27"/>
              </w:numPr>
              <w:jc w:val="left"/>
              <w:rPr>
                <w:rFonts w:cs="Courier New"/>
                <w:color w:val="000000" w:themeColor="text1"/>
                <w:sz w:val="20"/>
                <w:szCs w:val="20"/>
              </w:rPr>
            </w:pPr>
            <w:r w:rsidRPr="00B0639B">
              <w:rPr>
                <w:rFonts w:cs="Courier New"/>
                <w:color w:val="000000" w:themeColor="text1"/>
                <w:sz w:val="20"/>
                <w:szCs w:val="20"/>
              </w:rPr>
              <w:t>Number of resettlements (if and as applicable)</w:t>
            </w:r>
          </w:p>
          <w:p w14:paraId="2981BFAA" w14:textId="77777777" w:rsidR="000F3DF0" w:rsidRPr="00B0639B" w:rsidRDefault="000F3DF0" w:rsidP="0039326F">
            <w:pPr>
              <w:pStyle w:val="FootnoteText"/>
              <w:numPr>
                <w:ilvl w:val="0"/>
                <w:numId w:val="27"/>
              </w:numPr>
              <w:jc w:val="left"/>
              <w:rPr>
                <w:rFonts w:cs="Courier New"/>
                <w:color w:val="000000" w:themeColor="text1"/>
                <w:sz w:val="20"/>
                <w:szCs w:val="20"/>
              </w:rPr>
            </w:pPr>
            <w:r w:rsidRPr="00B0639B">
              <w:rPr>
                <w:rFonts w:cs="Courier New"/>
                <w:color w:val="000000" w:themeColor="text1"/>
                <w:sz w:val="20"/>
                <w:szCs w:val="20"/>
              </w:rPr>
              <w:t>Amount of compensation awarded (if and as applicable)</w:t>
            </w:r>
          </w:p>
        </w:tc>
      </w:tr>
      <w:tr w:rsidR="000F3DF0" w:rsidRPr="00853D7A" w14:paraId="062DF27B" w14:textId="77777777" w:rsidTr="00036A7C">
        <w:tblPrEx>
          <w:tblW w:w="14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 w:author="Sebastien Korwin" w:date="2018-04-16T15:14:00Z">
            <w:tblPrEx>
              <w:tblW w:w="14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52"/>
          <w:trPrChange w:id="25" w:author="Sebastien Korwin" w:date="2018-04-16T15:14:00Z">
            <w:trPr>
              <w:gridBefore w:val="1"/>
              <w:trHeight w:val="5930"/>
            </w:trPr>
          </w:trPrChange>
        </w:trPr>
        <w:tc>
          <w:tcPr>
            <w:tcW w:w="1276" w:type="dxa"/>
            <w:vMerge/>
            <w:shd w:val="clear" w:color="auto" w:fill="auto"/>
            <w:tcPrChange w:id="26" w:author="Sebastien Korwin" w:date="2018-04-16T15:14:00Z">
              <w:tcPr>
                <w:tcW w:w="1276" w:type="dxa"/>
                <w:gridSpan w:val="2"/>
                <w:vMerge/>
                <w:shd w:val="clear" w:color="auto" w:fill="auto"/>
              </w:tcPr>
            </w:tcPrChange>
          </w:tcPr>
          <w:p w14:paraId="098625CB" w14:textId="77777777" w:rsidR="000F3DF0" w:rsidRPr="00037A2F" w:rsidRDefault="000F3DF0" w:rsidP="00036A7C">
            <w:pPr>
              <w:rPr>
                <w:rFonts w:cs="Calibri"/>
                <w:sz w:val="20"/>
                <w:szCs w:val="20"/>
              </w:rPr>
            </w:pPr>
          </w:p>
        </w:tc>
        <w:tc>
          <w:tcPr>
            <w:tcW w:w="2462" w:type="dxa"/>
            <w:shd w:val="clear" w:color="auto" w:fill="auto"/>
            <w:tcPrChange w:id="27" w:author="Sebastien Korwin" w:date="2018-04-16T15:14:00Z">
              <w:tcPr>
                <w:tcW w:w="2462" w:type="dxa"/>
                <w:gridSpan w:val="2"/>
                <w:shd w:val="clear" w:color="auto" w:fill="auto"/>
              </w:tcPr>
            </w:tcPrChange>
          </w:tcPr>
          <w:p w14:paraId="7A649337" w14:textId="77777777" w:rsidR="000F3DF0" w:rsidRPr="00037A2F" w:rsidRDefault="000F3DF0" w:rsidP="00036A7C">
            <w:pPr>
              <w:pStyle w:val="FootnoteText"/>
              <w:rPr>
                <w:rFonts w:cs="Calibri"/>
                <w:sz w:val="20"/>
                <w:szCs w:val="20"/>
              </w:rPr>
            </w:pPr>
            <w:r w:rsidRPr="00037A2F">
              <w:rPr>
                <w:rFonts w:cs="Calibri"/>
                <w:sz w:val="20"/>
                <w:szCs w:val="20"/>
              </w:rPr>
              <w:t>Benefit-sharing</w:t>
            </w:r>
          </w:p>
        </w:tc>
        <w:tc>
          <w:tcPr>
            <w:tcW w:w="4626" w:type="dxa"/>
            <w:tcPrChange w:id="28" w:author="Sebastien Korwin" w:date="2018-04-16T15:14:00Z">
              <w:tcPr>
                <w:tcW w:w="4626" w:type="dxa"/>
                <w:gridSpan w:val="2"/>
              </w:tcPr>
            </w:tcPrChange>
          </w:tcPr>
          <w:p w14:paraId="7F70A734" w14:textId="77777777" w:rsidR="000F3DF0" w:rsidRPr="00FF460E" w:rsidRDefault="000F3DF0" w:rsidP="0039326F">
            <w:pPr>
              <w:pStyle w:val="FootnoteText"/>
              <w:numPr>
                <w:ilvl w:val="0"/>
                <w:numId w:val="28"/>
              </w:numPr>
              <w:jc w:val="left"/>
              <w:rPr>
                <w:rFonts w:cs="Calibri"/>
                <w:sz w:val="20"/>
                <w:szCs w:val="20"/>
              </w:rPr>
            </w:pPr>
            <w:r w:rsidRPr="00037A2F">
              <w:rPr>
                <w:rFonts w:cs="Calibri"/>
                <w:sz w:val="20"/>
                <w:szCs w:val="20"/>
              </w:rPr>
              <w:t xml:space="preserve">Description of </w:t>
            </w:r>
            <w:r>
              <w:rPr>
                <w:rFonts w:cs="Calibri"/>
                <w:sz w:val="20"/>
                <w:szCs w:val="20"/>
              </w:rPr>
              <w:t xml:space="preserve">how </w:t>
            </w:r>
            <w:r w:rsidRPr="00FF460E">
              <w:rPr>
                <w:rFonts w:cs="Calibri"/>
                <w:sz w:val="20"/>
                <w:szCs w:val="20"/>
              </w:rPr>
              <w:t>benefit-sharing</w:t>
            </w:r>
            <w:r>
              <w:rPr>
                <w:rFonts w:cs="Calibri"/>
                <w:sz w:val="20"/>
                <w:szCs w:val="20"/>
              </w:rPr>
              <w:t xml:space="preserve"> is dealt with</w:t>
            </w:r>
            <w:r w:rsidRPr="00FF460E">
              <w:rPr>
                <w:rFonts w:cs="Calibri"/>
                <w:sz w:val="20"/>
                <w:szCs w:val="20"/>
              </w:rPr>
              <w:t xml:space="preserve"> in Ghana </w:t>
            </w:r>
            <w:r>
              <w:rPr>
                <w:rFonts w:cs="Calibri"/>
                <w:sz w:val="20"/>
                <w:szCs w:val="20"/>
              </w:rPr>
              <w:t>(laws, institutions)</w:t>
            </w:r>
          </w:p>
          <w:p w14:paraId="1FCB6A68" w14:textId="77777777" w:rsidR="000F3DF0" w:rsidRDefault="000F3DF0" w:rsidP="0039326F">
            <w:pPr>
              <w:pStyle w:val="FootnoteText"/>
              <w:numPr>
                <w:ilvl w:val="0"/>
                <w:numId w:val="28"/>
              </w:numPr>
              <w:jc w:val="left"/>
              <w:rPr>
                <w:rFonts w:cs="Calibri"/>
                <w:sz w:val="20"/>
                <w:szCs w:val="20"/>
              </w:rPr>
            </w:pPr>
            <w:r w:rsidRPr="00FF460E">
              <w:rPr>
                <w:rFonts w:cs="Calibri"/>
                <w:sz w:val="20"/>
                <w:szCs w:val="20"/>
              </w:rPr>
              <w:t xml:space="preserve">Description </w:t>
            </w:r>
            <w:r>
              <w:rPr>
                <w:rFonts w:cs="Calibri"/>
                <w:sz w:val="20"/>
                <w:szCs w:val="20"/>
              </w:rPr>
              <w:t>any additional REDD+ specific</w:t>
            </w:r>
            <w:r w:rsidRPr="00FF460E">
              <w:rPr>
                <w:rFonts w:cs="Calibri"/>
                <w:sz w:val="20"/>
                <w:szCs w:val="20"/>
              </w:rPr>
              <w:t xml:space="preserve"> benefit-sharing </w:t>
            </w:r>
            <w:r>
              <w:rPr>
                <w:rFonts w:cs="Calibri"/>
                <w:sz w:val="20"/>
                <w:szCs w:val="20"/>
              </w:rPr>
              <w:t>regime/</w:t>
            </w:r>
            <w:r w:rsidRPr="00FF460E">
              <w:rPr>
                <w:rFonts w:cs="Calibri"/>
                <w:sz w:val="20"/>
                <w:szCs w:val="20"/>
              </w:rPr>
              <w:t xml:space="preserve">arrangements </w:t>
            </w:r>
            <w:r>
              <w:rPr>
                <w:rFonts w:cs="Calibri"/>
                <w:sz w:val="20"/>
                <w:szCs w:val="20"/>
              </w:rPr>
              <w:t>(protocols, guidelines, institutional arrangements)</w:t>
            </w:r>
          </w:p>
          <w:p w14:paraId="59BDDCA4" w14:textId="77777777" w:rsidR="000F3DF0" w:rsidRPr="00FF460E" w:rsidRDefault="000F3DF0" w:rsidP="0039326F">
            <w:pPr>
              <w:pStyle w:val="FootnoteText"/>
              <w:numPr>
                <w:ilvl w:val="0"/>
                <w:numId w:val="28"/>
              </w:numPr>
              <w:jc w:val="left"/>
              <w:rPr>
                <w:rFonts w:cs="Calibri"/>
                <w:sz w:val="20"/>
                <w:szCs w:val="20"/>
              </w:rPr>
            </w:pPr>
            <w:r w:rsidRPr="00FF460E">
              <w:rPr>
                <w:rFonts w:cs="Calibri"/>
                <w:sz w:val="20"/>
                <w:szCs w:val="20"/>
              </w:rPr>
              <w:t>Mapping of beneficiaries</w:t>
            </w:r>
            <w:r>
              <w:rPr>
                <w:rFonts w:cs="Calibri"/>
                <w:sz w:val="20"/>
                <w:szCs w:val="20"/>
              </w:rPr>
              <w:t xml:space="preserve"> in REDD+ intervention area</w:t>
            </w:r>
          </w:p>
        </w:tc>
        <w:tc>
          <w:tcPr>
            <w:tcW w:w="5850" w:type="dxa"/>
            <w:tcPrChange w:id="29" w:author="Sebastien Korwin" w:date="2018-04-16T15:14:00Z">
              <w:tcPr>
                <w:tcW w:w="5850" w:type="dxa"/>
                <w:gridSpan w:val="2"/>
              </w:tcPr>
            </w:tcPrChange>
          </w:tcPr>
          <w:p w14:paraId="63C656A5" w14:textId="77777777" w:rsidR="000F3DF0" w:rsidRPr="00FF460E" w:rsidRDefault="000F3DF0" w:rsidP="00036A7C">
            <w:pPr>
              <w:pStyle w:val="FootnoteText"/>
              <w:rPr>
                <w:rFonts w:cs="Calibri"/>
                <w:b/>
                <w:sz w:val="20"/>
                <w:szCs w:val="20"/>
              </w:rPr>
            </w:pPr>
            <w:r w:rsidRPr="00FF460E">
              <w:rPr>
                <w:rFonts w:cs="Calibri"/>
                <w:b/>
                <w:sz w:val="20"/>
                <w:szCs w:val="20"/>
              </w:rPr>
              <w:t>Qualitative</w:t>
            </w:r>
          </w:p>
          <w:p w14:paraId="4AF6D454" w14:textId="77777777" w:rsidR="000F3DF0" w:rsidRDefault="000F3DF0" w:rsidP="0039326F">
            <w:pPr>
              <w:pStyle w:val="FootnoteText"/>
              <w:numPr>
                <w:ilvl w:val="0"/>
                <w:numId w:val="29"/>
              </w:numPr>
              <w:jc w:val="left"/>
              <w:rPr>
                <w:rFonts w:cs="Calibri"/>
                <w:sz w:val="20"/>
                <w:szCs w:val="20"/>
              </w:rPr>
            </w:pPr>
            <w:r w:rsidRPr="00FF460E">
              <w:rPr>
                <w:rFonts w:cs="Calibri"/>
                <w:sz w:val="20"/>
                <w:szCs w:val="20"/>
              </w:rPr>
              <w:t>Description of benefits (moneta</w:t>
            </w:r>
            <w:r>
              <w:rPr>
                <w:rFonts w:cs="Calibri"/>
                <w:sz w:val="20"/>
                <w:szCs w:val="20"/>
              </w:rPr>
              <w:t>r</w:t>
            </w:r>
            <w:r w:rsidRPr="00FF460E">
              <w:rPr>
                <w:rFonts w:cs="Calibri"/>
                <w:sz w:val="20"/>
                <w:szCs w:val="20"/>
              </w:rPr>
              <w:t>y and non</w:t>
            </w:r>
            <w:r>
              <w:rPr>
                <w:rFonts w:cs="Calibri"/>
                <w:sz w:val="20"/>
                <w:szCs w:val="20"/>
              </w:rPr>
              <w:t>-</w:t>
            </w:r>
            <w:r w:rsidRPr="00FF460E">
              <w:rPr>
                <w:rFonts w:cs="Calibri"/>
                <w:sz w:val="20"/>
                <w:szCs w:val="20"/>
              </w:rPr>
              <w:t>monetary) provided to identified beneficiaries</w:t>
            </w:r>
            <w:r>
              <w:rPr>
                <w:rFonts w:cs="Calibri"/>
                <w:sz w:val="20"/>
                <w:szCs w:val="20"/>
              </w:rPr>
              <w:t xml:space="preserve"> (macro)</w:t>
            </w:r>
          </w:p>
          <w:p w14:paraId="7A3C72EE" w14:textId="77777777" w:rsidR="000F3DF0" w:rsidRPr="001B0321" w:rsidRDefault="000F3DF0" w:rsidP="0039326F">
            <w:pPr>
              <w:pStyle w:val="FootnoteText"/>
              <w:numPr>
                <w:ilvl w:val="0"/>
                <w:numId w:val="29"/>
              </w:numPr>
              <w:jc w:val="left"/>
              <w:rPr>
                <w:rFonts w:cs="Calibri"/>
                <w:sz w:val="20"/>
                <w:szCs w:val="20"/>
              </w:rPr>
            </w:pPr>
            <w:r w:rsidRPr="00FF460E">
              <w:rPr>
                <w:rFonts w:cs="Calibri"/>
                <w:sz w:val="20"/>
                <w:szCs w:val="20"/>
              </w:rPr>
              <w:t>Description of benefits (moneta</w:t>
            </w:r>
            <w:r>
              <w:rPr>
                <w:rFonts w:cs="Calibri"/>
                <w:sz w:val="20"/>
                <w:szCs w:val="20"/>
              </w:rPr>
              <w:t>r</w:t>
            </w:r>
            <w:r w:rsidRPr="00FF460E">
              <w:rPr>
                <w:rFonts w:cs="Calibri"/>
                <w:sz w:val="20"/>
                <w:szCs w:val="20"/>
              </w:rPr>
              <w:t>y and non</w:t>
            </w:r>
            <w:r>
              <w:rPr>
                <w:rFonts w:cs="Calibri"/>
                <w:sz w:val="20"/>
                <w:szCs w:val="20"/>
              </w:rPr>
              <w:t>-</w:t>
            </w:r>
            <w:r w:rsidRPr="00FF460E">
              <w:rPr>
                <w:rFonts w:cs="Calibri"/>
                <w:sz w:val="20"/>
                <w:szCs w:val="20"/>
              </w:rPr>
              <w:t>monetary) provided to identified beneficiaries</w:t>
            </w:r>
            <w:r>
              <w:rPr>
                <w:rFonts w:cs="Calibri"/>
                <w:sz w:val="20"/>
                <w:szCs w:val="20"/>
              </w:rPr>
              <w:t xml:space="preserve"> in the specific REDD+ intervention/PaM (micro)</w:t>
            </w:r>
          </w:p>
          <w:p w14:paraId="7C11FB2F" w14:textId="77777777" w:rsidR="000F3DF0" w:rsidRDefault="000F3DF0" w:rsidP="00036A7C">
            <w:pPr>
              <w:pStyle w:val="FootnoteText"/>
              <w:rPr>
                <w:rFonts w:cs="Calibri"/>
                <w:sz w:val="20"/>
                <w:szCs w:val="20"/>
              </w:rPr>
            </w:pPr>
          </w:p>
          <w:p w14:paraId="58DE3B79" w14:textId="77777777" w:rsidR="000F3DF0" w:rsidRPr="00FF460E" w:rsidRDefault="000F3DF0" w:rsidP="00036A7C">
            <w:pPr>
              <w:pStyle w:val="FootnoteText"/>
              <w:rPr>
                <w:rFonts w:cs="Calibri"/>
                <w:b/>
                <w:sz w:val="20"/>
                <w:szCs w:val="20"/>
              </w:rPr>
            </w:pPr>
            <w:r w:rsidRPr="00FF460E">
              <w:rPr>
                <w:rFonts w:cs="Calibri"/>
                <w:b/>
                <w:sz w:val="20"/>
                <w:szCs w:val="20"/>
              </w:rPr>
              <w:t>Quantitative</w:t>
            </w:r>
          </w:p>
          <w:p w14:paraId="609C8578" w14:textId="77777777" w:rsidR="000F3DF0" w:rsidRDefault="000F3DF0" w:rsidP="0039326F">
            <w:pPr>
              <w:pStyle w:val="FootnoteText"/>
              <w:numPr>
                <w:ilvl w:val="0"/>
                <w:numId w:val="29"/>
              </w:numPr>
              <w:jc w:val="left"/>
              <w:rPr>
                <w:rFonts w:cs="Calibri"/>
                <w:sz w:val="20"/>
                <w:szCs w:val="20"/>
              </w:rPr>
            </w:pPr>
            <w:r>
              <w:rPr>
                <w:rFonts w:cs="Calibri"/>
                <w:sz w:val="20"/>
                <w:szCs w:val="20"/>
              </w:rPr>
              <w:t>Outcome statistics (number of beneficiaries, amounts disbursed) macro and micro</w:t>
            </w:r>
          </w:p>
          <w:p w14:paraId="6FB937BD" w14:textId="77777777" w:rsidR="000F3DF0" w:rsidRDefault="000F3DF0" w:rsidP="00036A7C">
            <w:pPr>
              <w:pStyle w:val="FootnoteText"/>
              <w:rPr>
                <w:rFonts w:cs="Calibri"/>
                <w:sz w:val="20"/>
                <w:szCs w:val="20"/>
              </w:rPr>
            </w:pPr>
          </w:p>
          <w:p w14:paraId="2F9C4420" w14:textId="77777777" w:rsidR="000F3DF0" w:rsidRDefault="000F3DF0" w:rsidP="00036A7C">
            <w:pPr>
              <w:pStyle w:val="FootnoteText"/>
              <w:rPr>
                <w:rFonts w:cs="Calibri"/>
                <w:sz w:val="20"/>
                <w:szCs w:val="20"/>
              </w:rPr>
            </w:pPr>
          </w:p>
          <w:p w14:paraId="18EE39D9" w14:textId="77777777" w:rsidR="000F3DF0" w:rsidRPr="0038544C" w:rsidRDefault="000F3DF0" w:rsidP="00036A7C">
            <w:pPr>
              <w:pStyle w:val="FootnoteText"/>
              <w:rPr>
                <w:rFonts w:cs="Calibri"/>
                <w:sz w:val="20"/>
                <w:szCs w:val="20"/>
              </w:rPr>
            </w:pPr>
          </w:p>
        </w:tc>
      </w:tr>
      <w:tr w:rsidR="000F3DF0" w:rsidRPr="00853D7A" w14:paraId="01397DA0" w14:textId="77777777" w:rsidTr="00036A7C">
        <w:trPr>
          <w:trHeight w:val="530"/>
        </w:trPr>
        <w:tc>
          <w:tcPr>
            <w:tcW w:w="1276" w:type="dxa"/>
            <w:vMerge/>
            <w:shd w:val="clear" w:color="auto" w:fill="auto"/>
          </w:tcPr>
          <w:p w14:paraId="2BBC1873" w14:textId="77777777" w:rsidR="000F3DF0" w:rsidRPr="00E80F90" w:rsidRDefault="000F3DF0" w:rsidP="00036A7C">
            <w:pPr>
              <w:rPr>
                <w:rFonts w:cs="Calibri"/>
                <w:sz w:val="20"/>
                <w:szCs w:val="20"/>
              </w:rPr>
            </w:pPr>
          </w:p>
        </w:tc>
        <w:tc>
          <w:tcPr>
            <w:tcW w:w="2462" w:type="dxa"/>
            <w:shd w:val="clear" w:color="auto" w:fill="auto"/>
          </w:tcPr>
          <w:p w14:paraId="6A02BD5B" w14:textId="77777777" w:rsidR="000F3DF0" w:rsidRPr="00FF460E" w:rsidRDefault="000F3DF0" w:rsidP="00036A7C">
            <w:pPr>
              <w:pStyle w:val="FootnoteText"/>
              <w:rPr>
                <w:rFonts w:cs="Calibri"/>
                <w:sz w:val="20"/>
                <w:szCs w:val="20"/>
              </w:rPr>
            </w:pPr>
            <w:r w:rsidRPr="00FF460E">
              <w:rPr>
                <w:rFonts w:cs="Calibri"/>
                <w:sz w:val="20"/>
                <w:szCs w:val="20"/>
              </w:rPr>
              <w:t>Gender equity</w:t>
            </w:r>
          </w:p>
        </w:tc>
        <w:tc>
          <w:tcPr>
            <w:tcW w:w="4626" w:type="dxa"/>
          </w:tcPr>
          <w:p w14:paraId="06273423" w14:textId="77777777" w:rsidR="000F3DF0" w:rsidRPr="00FF460E" w:rsidRDefault="000F3DF0" w:rsidP="0039326F">
            <w:pPr>
              <w:pStyle w:val="FootnoteText"/>
              <w:numPr>
                <w:ilvl w:val="0"/>
                <w:numId w:val="26"/>
              </w:numPr>
              <w:jc w:val="left"/>
              <w:rPr>
                <w:rFonts w:cs="Calibri"/>
                <w:sz w:val="20"/>
                <w:szCs w:val="20"/>
              </w:rPr>
            </w:pPr>
            <w:r w:rsidRPr="00FF460E">
              <w:rPr>
                <w:rFonts w:cs="Calibri"/>
                <w:sz w:val="20"/>
                <w:szCs w:val="20"/>
              </w:rPr>
              <w:t>Description of measures in place in Ghana to ensure/improve gender equity</w:t>
            </w:r>
            <w:r>
              <w:rPr>
                <w:rFonts w:cs="Calibri"/>
                <w:sz w:val="20"/>
                <w:szCs w:val="20"/>
              </w:rPr>
              <w:t xml:space="preserve"> (laws, institutions)</w:t>
            </w:r>
          </w:p>
          <w:p w14:paraId="2907E1A8" w14:textId="77777777" w:rsidR="000F3DF0" w:rsidRPr="00FF460E" w:rsidRDefault="000F3DF0" w:rsidP="0039326F">
            <w:pPr>
              <w:pStyle w:val="FootnoteText"/>
              <w:numPr>
                <w:ilvl w:val="0"/>
                <w:numId w:val="26"/>
              </w:numPr>
              <w:jc w:val="left"/>
              <w:rPr>
                <w:rFonts w:cs="Calibri"/>
                <w:sz w:val="20"/>
                <w:szCs w:val="20"/>
              </w:rPr>
            </w:pPr>
            <w:r w:rsidRPr="00FF460E">
              <w:rPr>
                <w:rFonts w:cs="Calibri"/>
                <w:sz w:val="20"/>
                <w:szCs w:val="20"/>
              </w:rPr>
              <w:t xml:space="preserve">Description of additional measures in place in the context of REDD+ </w:t>
            </w:r>
          </w:p>
        </w:tc>
        <w:tc>
          <w:tcPr>
            <w:tcW w:w="5850" w:type="dxa"/>
          </w:tcPr>
          <w:p w14:paraId="2E68B3B0" w14:textId="77777777" w:rsidR="000F3DF0" w:rsidRPr="001C2734" w:rsidRDefault="000F3DF0" w:rsidP="00036A7C">
            <w:pPr>
              <w:pStyle w:val="FootnoteText"/>
              <w:rPr>
                <w:rFonts w:cs="Calibri"/>
                <w:b/>
                <w:sz w:val="20"/>
                <w:szCs w:val="20"/>
              </w:rPr>
            </w:pPr>
            <w:r w:rsidRPr="001C2734">
              <w:rPr>
                <w:rFonts w:cs="Calibri"/>
                <w:b/>
                <w:sz w:val="20"/>
                <w:szCs w:val="20"/>
              </w:rPr>
              <w:t>Qualitative</w:t>
            </w:r>
          </w:p>
          <w:p w14:paraId="01C22F9F" w14:textId="77777777" w:rsidR="000F3DF0" w:rsidRDefault="000F3DF0" w:rsidP="0039326F">
            <w:pPr>
              <w:pStyle w:val="FootnoteText"/>
              <w:numPr>
                <w:ilvl w:val="0"/>
                <w:numId w:val="30"/>
              </w:numPr>
              <w:jc w:val="left"/>
              <w:rPr>
                <w:rFonts w:cs="Calibri"/>
                <w:sz w:val="20"/>
                <w:szCs w:val="20"/>
              </w:rPr>
            </w:pPr>
            <w:r>
              <w:rPr>
                <w:rFonts w:cs="Calibri"/>
                <w:sz w:val="20"/>
                <w:szCs w:val="20"/>
              </w:rPr>
              <w:t xml:space="preserve">Description </w:t>
            </w:r>
            <w:r w:rsidRPr="00FF460E">
              <w:rPr>
                <w:rFonts w:cs="Calibri"/>
                <w:sz w:val="20"/>
                <w:szCs w:val="20"/>
              </w:rPr>
              <w:t xml:space="preserve">of how </w:t>
            </w:r>
            <w:r>
              <w:rPr>
                <w:rFonts w:cs="Calibri"/>
                <w:sz w:val="20"/>
                <w:szCs w:val="20"/>
              </w:rPr>
              <w:t>women were involved in the design/implementation of REDD+ interventions (participation, distribution of benefits) (macro)</w:t>
            </w:r>
          </w:p>
          <w:p w14:paraId="11A9A195" w14:textId="77777777" w:rsidR="000F3DF0" w:rsidRDefault="000F3DF0" w:rsidP="0039326F">
            <w:pPr>
              <w:pStyle w:val="FootnoteText"/>
              <w:numPr>
                <w:ilvl w:val="0"/>
                <w:numId w:val="30"/>
              </w:numPr>
              <w:jc w:val="left"/>
              <w:rPr>
                <w:rFonts w:cs="Calibri"/>
                <w:sz w:val="20"/>
                <w:szCs w:val="20"/>
              </w:rPr>
            </w:pPr>
            <w:r>
              <w:rPr>
                <w:rFonts w:cs="Calibri"/>
                <w:sz w:val="20"/>
                <w:szCs w:val="20"/>
              </w:rPr>
              <w:t xml:space="preserve">Description </w:t>
            </w:r>
            <w:r w:rsidRPr="00FF460E">
              <w:rPr>
                <w:rFonts w:cs="Calibri"/>
                <w:sz w:val="20"/>
                <w:szCs w:val="20"/>
              </w:rPr>
              <w:t xml:space="preserve">of how </w:t>
            </w:r>
            <w:r>
              <w:rPr>
                <w:rFonts w:cs="Calibri"/>
                <w:sz w:val="20"/>
                <w:szCs w:val="20"/>
              </w:rPr>
              <w:t>women were involved in the design/implementation of REDD+ interventions (participation, distribution of benefits) in the specific intervention (PaM) (micro)</w:t>
            </w:r>
          </w:p>
          <w:p w14:paraId="33A89B29" w14:textId="77777777" w:rsidR="000F3DF0" w:rsidRDefault="000F3DF0" w:rsidP="00036A7C">
            <w:pPr>
              <w:pStyle w:val="FootnoteText"/>
              <w:rPr>
                <w:rFonts w:cs="Calibri"/>
                <w:sz w:val="20"/>
                <w:szCs w:val="20"/>
              </w:rPr>
            </w:pPr>
          </w:p>
          <w:p w14:paraId="6655500E" w14:textId="77777777" w:rsidR="000F3DF0" w:rsidRPr="001C2734" w:rsidRDefault="000F3DF0" w:rsidP="00036A7C">
            <w:pPr>
              <w:pStyle w:val="FootnoteText"/>
              <w:rPr>
                <w:rFonts w:cs="Calibri"/>
                <w:b/>
                <w:sz w:val="20"/>
                <w:szCs w:val="20"/>
              </w:rPr>
            </w:pPr>
            <w:r w:rsidRPr="001C2734">
              <w:rPr>
                <w:rFonts w:cs="Calibri"/>
                <w:b/>
                <w:sz w:val="20"/>
                <w:szCs w:val="20"/>
              </w:rPr>
              <w:t>Quantitative</w:t>
            </w:r>
          </w:p>
          <w:p w14:paraId="71ED12F5" w14:textId="77777777" w:rsidR="000F3DF0" w:rsidRDefault="000F3DF0" w:rsidP="0039326F">
            <w:pPr>
              <w:pStyle w:val="ListParagraph"/>
              <w:numPr>
                <w:ilvl w:val="0"/>
                <w:numId w:val="30"/>
              </w:numPr>
              <w:jc w:val="left"/>
              <w:rPr>
                <w:rFonts w:cs="Courier New"/>
                <w:color w:val="000000" w:themeColor="text1"/>
                <w:szCs w:val="20"/>
              </w:rPr>
            </w:pPr>
            <w:r w:rsidRPr="00FF460E">
              <w:rPr>
                <w:rFonts w:cs="Courier New"/>
                <w:color w:val="000000" w:themeColor="text1"/>
                <w:szCs w:val="20"/>
              </w:rPr>
              <w:t xml:space="preserve">Number of meaningful involvement of </w:t>
            </w:r>
            <w:r>
              <w:rPr>
                <w:rFonts w:cs="Courier New"/>
                <w:color w:val="000000" w:themeColor="text1"/>
                <w:szCs w:val="20"/>
              </w:rPr>
              <w:t xml:space="preserve">women in </w:t>
            </w:r>
            <w:r w:rsidRPr="00FF460E">
              <w:rPr>
                <w:rFonts w:cs="Courier New"/>
                <w:color w:val="000000" w:themeColor="text1"/>
                <w:szCs w:val="20"/>
              </w:rPr>
              <w:t xml:space="preserve">design/implementation of REDD+ </w:t>
            </w:r>
            <w:r>
              <w:rPr>
                <w:rFonts w:cs="Courier New"/>
                <w:color w:val="000000" w:themeColor="text1"/>
                <w:szCs w:val="20"/>
              </w:rPr>
              <w:t>interventions (micro and macro)</w:t>
            </w:r>
          </w:p>
          <w:p w14:paraId="2EFD3418" w14:textId="77777777" w:rsidR="000F3DF0" w:rsidRPr="00FF460E" w:rsidRDefault="000F3DF0" w:rsidP="0039326F">
            <w:pPr>
              <w:pStyle w:val="ListParagraph"/>
              <w:numPr>
                <w:ilvl w:val="0"/>
                <w:numId w:val="30"/>
              </w:numPr>
              <w:jc w:val="left"/>
              <w:rPr>
                <w:rFonts w:cs="Courier New"/>
                <w:color w:val="000000" w:themeColor="text1"/>
                <w:szCs w:val="20"/>
              </w:rPr>
            </w:pPr>
            <w:r>
              <w:rPr>
                <w:rFonts w:cs="Courier New"/>
                <w:color w:val="000000" w:themeColor="text1"/>
                <w:szCs w:val="20"/>
              </w:rPr>
              <w:t xml:space="preserve"> Number of women accessing benefits (monetary, non-monetary), amounts received</w:t>
            </w:r>
            <w:r w:rsidRPr="00FF460E">
              <w:rPr>
                <w:rFonts w:cs="Courier New"/>
                <w:color w:val="000000" w:themeColor="text1"/>
                <w:szCs w:val="20"/>
              </w:rPr>
              <w:t xml:space="preserve"> </w:t>
            </w:r>
          </w:p>
          <w:p w14:paraId="42C4568F" w14:textId="77777777" w:rsidR="000F3DF0" w:rsidRPr="0038544C" w:rsidRDefault="000F3DF0" w:rsidP="00036A7C">
            <w:pPr>
              <w:pStyle w:val="FootnoteText"/>
              <w:rPr>
                <w:rFonts w:cs="Calibri"/>
                <w:sz w:val="20"/>
                <w:szCs w:val="20"/>
              </w:rPr>
            </w:pPr>
          </w:p>
        </w:tc>
      </w:tr>
      <w:tr w:rsidR="000F3DF0" w:rsidRPr="00853D7A" w14:paraId="1DC2B76C" w14:textId="77777777" w:rsidTr="00036A7C">
        <w:trPr>
          <w:trHeight w:val="436"/>
        </w:trPr>
        <w:tc>
          <w:tcPr>
            <w:tcW w:w="1276" w:type="dxa"/>
            <w:vMerge/>
            <w:shd w:val="clear" w:color="auto" w:fill="auto"/>
          </w:tcPr>
          <w:p w14:paraId="15951627" w14:textId="77777777" w:rsidR="000F3DF0" w:rsidRPr="00A55AE6" w:rsidRDefault="000F3DF0" w:rsidP="00036A7C">
            <w:pPr>
              <w:rPr>
                <w:rFonts w:cs="Calibri"/>
                <w:sz w:val="20"/>
                <w:szCs w:val="20"/>
              </w:rPr>
            </w:pPr>
          </w:p>
        </w:tc>
        <w:tc>
          <w:tcPr>
            <w:tcW w:w="2462" w:type="dxa"/>
            <w:shd w:val="clear" w:color="auto" w:fill="auto"/>
          </w:tcPr>
          <w:p w14:paraId="137FA466" w14:textId="77777777" w:rsidR="000F3DF0" w:rsidRPr="004767AA" w:rsidRDefault="000F3DF0" w:rsidP="00036A7C">
            <w:pPr>
              <w:pStyle w:val="FootnoteText"/>
              <w:rPr>
                <w:rFonts w:cs="Calibri"/>
                <w:sz w:val="20"/>
                <w:szCs w:val="20"/>
              </w:rPr>
            </w:pPr>
            <w:r w:rsidRPr="004767AA">
              <w:rPr>
                <w:rFonts w:cs="Calibri"/>
                <w:sz w:val="20"/>
                <w:szCs w:val="20"/>
              </w:rPr>
              <w:t>Access to justice</w:t>
            </w:r>
          </w:p>
        </w:tc>
        <w:tc>
          <w:tcPr>
            <w:tcW w:w="4626" w:type="dxa"/>
          </w:tcPr>
          <w:p w14:paraId="22D28DF3" w14:textId="77777777" w:rsidR="000F3DF0" w:rsidRDefault="000F3DF0" w:rsidP="0039326F">
            <w:pPr>
              <w:pStyle w:val="FootnoteText"/>
              <w:numPr>
                <w:ilvl w:val="0"/>
                <w:numId w:val="31"/>
              </w:numPr>
              <w:jc w:val="left"/>
              <w:rPr>
                <w:rFonts w:cs="Calibri"/>
                <w:sz w:val="20"/>
                <w:szCs w:val="20"/>
              </w:rPr>
            </w:pPr>
            <w:r w:rsidRPr="004767AA">
              <w:rPr>
                <w:rFonts w:cs="Calibri"/>
                <w:sz w:val="20"/>
                <w:szCs w:val="20"/>
              </w:rPr>
              <w:t xml:space="preserve">Description of </w:t>
            </w:r>
            <w:r>
              <w:rPr>
                <w:rFonts w:cs="Calibri"/>
                <w:sz w:val="20"/>
                <w:szCs w:val="20"/>
              </w:rPr>
              <w:t xml:space="preserve">how </w:t>
            </w:r>
            <w:r w:rsidRPr="004767AA">
              <w:rPr>
                <w:rFonts w:cs="Calibri"/>
                <w:sz w:val="20"/>
                <w:szCs w:val="20"/>
              </w:rPr>
              <w:t>access to justice</w:t>
            </w:r>
            <w:r>
              <w:rPr>
                <w:rFonts w:cs="Calibri"/>
                <w:sz w:val="20"/>
                <w:szCs w:val="20"/>
              </w:rPr>
              <w:t xml:space="preserve"> is regulated in Ghana (laws, institutions)</w:t>
            </w:r>
          </w:p>
          <w:p w14:paraId="029C578B" w14:textId="77777777" w:rsidR="000F3DF0" w:rsidRPr="004767AA" w:rsidRDefault="000F3DF0" w:rsidP="0039326F">
            <w:pPr>
              <w:pStyle w:val="FootnoteText"/>
              <w:numPr>
                <w:ilvl w:val="0"/>
                <w:numId w:val="31"/>
              </w:numPr>
              <w:jc w:val="left"/>
              <w:rPr>
                <w:rFonts w:cs="Calibri"/>
                <w:sz w:val="20"/>
                <w:szCs w:val="20"/>
              </w:rPr>
            </w:pPr>
            <w:r w:rsidRPr="004767AA">
              <w:rPr>
                <w:rFonts w:cs="Calibri"/>
                <w:sz w:val="20"/>
                <w:szCs w:val="20"/>
              </w:rPr>
              <w:lastRenderedPageBreak/>
              <w:t>Description any additional REDD+ specific</w:t>
            </w:r>
            <w:r>
              <w:rPr>
                <w:rFonts w:cs="Calibri"/>
                <w:sz w:val="20"/>
                <w:szCs w:val="20"/>
              </w:rPr>
              <w:t xml:space="preserve"> measures to deal with conflicts (dispute resolution procedures, institutional arrangements) if additional</w:t>
            </w:r>
          </w:p>
          <w:p w14:paraId="42D72A6D" w14:textId="77777777" w:rsidR="000F3DF0" w:rsidRPr="004767AA" w:rsidRDefault="000F3DF0" w:rsidP="00036A7C">
            <w:pPr>
              <w:pStyle w:val="FootnoteText"/>
              <w:rPr>
                <w:rFonts w:cs="Calibri"/>
                <w:sz w:val="20"/>
                <w:szCs w:val="20"/>
              </w:rPr>
            </w:pPr>
          </w:p>
        </w:tc>
        <w:tc>
          <w:tcPr>
            <w:tcW w:w="5850" w:type="dxa"/>
          </w:tcPr>
          <w:p w14:paraId="53837F43" w14:textId="77777777" w:rsidR="000F3DF0" w:rsidRPr="001C2734" w:rsidRDefault="000F3DF0" w:rsidP="00036A7C">
            <w:pPr>
              <w:pStyle w:val="FootnoteText"/>
              <w:rPr>
                <w:rFonts w:cs="Calibri"/>
                <w:b/>
                <w:sz w:val="20"/>
                <w:szCs w:val="20"/>
              </w:rPr>
            </w:pPr>
            <w:r w:rsidRPr="001C2734">
              <w:rPr>
                <w:rFonts w:cs="Calibri"/>
                <w:b/>
                <w:sz w:val="20"/>
                <w:szCs w:val="20"/>
              </w:rPr>
              <w:lastRenderedPageBreak/>
              <w:t>Qualitative</w:t>
            </w:r>
          </w:p>
          <w:p w14:paraId="76B61676" w14:textId="77777777" w:rsidR="000F3DF0" w:rsidRDefault="000F3DF0" w:rsidP="0039326F">
            <w:pPr>
              <w:pStyle w:val="FootnoteText"/>
              <w:numPr>
                <w:ilvl w:val="0"/>
                <w:numId w:val="32"/>
              </w:numPr>
              <w:jc w:val="left"/>
              <w:rPr>
                <w:rFonts w:cs="Calibri"/>
                <w:sz w:val="20"/>
                <w:szCs w:val="20"/>
              </w:rPr>
            </w:pPr>
            <w:r>
              <w:rPr>
                <w:rFonts w:cs="Calibri"/>
                <w:sz w:val="20"/>
                <w:szCs w:val="20"/>
              </w:rPr>
              <w:lastRenderedPageBreak/>
              <w:t>Description of major sources of conflicts during REDD+ design and implementation and how these were dealt with (process followed, outcomes) (macro and micro).</w:t>
            </w:r>
          </w:p>
          <w:p w14:paraId="4288A700" w14:textId="77777777" w:rsidR="000F3DF0" w:rsidRDefault="000F3DF0" w:rsidP="00036A7C">
            <w:pPr>
              <w:pStyle w:val="FootnoteText"/>
              <w:rPr>
                <w:rFonts w:cs="Calibri"/>
                <w:sz w:val="20"/>
                <w:szCs w:val="20"/>
              </w:rPr>
            </w:pPr>
          </w:p>
          <w:p w14:paraId="0F7B87D7" w14:textId="77777777" w:rsidR="000F3DF0" w:rsidRPr="001C2734" w:rsidRDefault="000F3DF0" w:rsidP="00036A7C">
            <w:pPr>
              <w:pStyle w:val="FootnoteText"/>
              <w:rPr>
                <w:rFonts w:cs="Calibri"/>
                <w:b/>
                <w:sz w:val="20"/>
                <w:szCs w:val="20"/>
              </w:rPr>
            </w:pPr>
            <w:r w:rsidRPr="001C2734">
              <w:rPr>
                <w:rFonts w:cs="Calibri"/>
                <w:b/>
                <w:sz w:val="20"/>
                <w:szCs w:val="20"/>
              </w:rPr>
              <w:t>Quantitative</w:t>
            </w:r>
          </w:p>
          <w:p w14:paraId="1116F89C" w14:textId="77777777" w:rsidR="000F3DF0" w:rsidRDefault="000F3DF0" w:rsidP="0039326F">
            <w:pPr>
              <w:pStyle w:val="FootnoteText"/>
              <w:numPr>
                <w:ilvl w:val="0"/>
                <w:numId w:val="32"/>
              </w:numPr>
              <w:jc w:val="left"/>
              <w:rPr>
                <w:rFonts w:cs="Calibri"/>
                <w:sz w:val="20"/>
                <w:szCs w:val="20"/>
              </w:rPr>
            </w:pPr>
            <w:r>
              <w:rPr>
                <w:rFonts w:cs="Calibri"/>
                <w:sz w:val="20"/>
                <w:szCs w:val="20"/>
              </w:rPr>
              <w:t>Number of grievances received (against implementing authorities, among stakeholders)</w:t>
            </w:r>
          </w:p>
          <w:p w14:paraId="394C204F" w14:textId="77777777" w:rsidR="000F3DF0" w:rsidRDefault="000F3DF0" w:rsidP="0039326F">
            <w:pPr>
              <w:pStyle w:val="FootnoteText"/>
              <w:numPr>
                <w:ilvl w:val="0"/>
                <w:numId w:val="32"/>
              </w:numPr>
              <w:jc w:val="left"/>
              <w:rPr>
                <w:rFonts w:cs="Calibri"/>
                <w:sz w:val="20"/>
                <w:szCs w:val="20"/>
              </w:rPr>
            </w:pPr>
            <w:r>
              <w:rPr>
                <w:rFonts w:cs="Calibri"/>
                <w:sz w:val="20"/>
                <w:szCs w:val="20"/>
              </w:rPr>
              <w:t xml:space="preserve">Numbers dealt with directly, number re-directed to courts </w:t>
            </w:r>
          </w:p>
          <w:p w14:paraId="388053E9" w14:textId="77777777" w:rsidR="000F3DF0" w:rsidRDefault="000F3DF0" w:rsidP="0039326F">
            <w:pPr>
              <w:pStyle w:val="FootnoteText"/>
              <w:numPr>
                <w:ilvl w:val="0"/>
                <w:numId w:val="32"/>
              </w:numPr>
              <w:jc w:val="left"/>
              <w:rPr>
                <w:rFonts w:cs="Calibri"/>
                <w:sz w:val="20"/>
                <w:szCs w:val="20"/>
              </w:rPr>
            </w:pPr>
            <w:r>
              <w:rPr>
                <w:rFonts w:cs="Calibri"/>
                <w:sz w:val="20"/>
                <w:szCs w:val="20"/>
              </w:rPr>
              <w:t>Average delay in dealing with them</w:t>
            </w:r>
          </w:p>
          <w:p w14:paraId="2E1FE9FD" w14:textId="77777777" w:rsidR="000F3DF0" w:rsidRDefault="000F3DF0" w:rsidP="0039326F">
            <w:pPr>
              <w:pStyle w:val="FootnoteText"/>
              <w:numPr>
                <w:ilvl w:val="0"/>
                <w:numId w:val="32"/>
              </w:numPr>
              <w:jc w:val="left"/>
              <w:rPr>
                <w:rFonts w:cs="Calibri"/>
                <w:sz w:val="20"/>
                <w:szCs w:val="20"/>
              </w:rPr>
            </w:pPr>
            <w:r>
              <w:rPr>
                <w:rFonts w:cs="Calibri"/>
                <w:sz w:val="20"/>
                <w:szCs w:val="20"/>
              </w:rPr>
              <w:t>Number of appeals</w:t>
            </w:r>
          </w:p>
          <w:p w14:paraId="1960484F" w14:textId="77777777" w:rsidR="000F3DF0" w:rsidRPr="004767AA" w:rsidRDefault="000F3DF0" w:rsidP="00036A7C">
            <w:pPr>
              <w:pStyle w:val="FootnoteText"/>
              <w:rPr>
                <w:rFonts w:cs="Calibri"/>
                <w:sz w:val="20"/>
                <w:szCs w:val="20"/>
              </w:rPr>
            </w:pPr>
          </w:p>
        </w:tc>
      </w:tr>
    </w:tbl>
    <w:p w14:paraId="520370F7" w14:textId="77777777" w:rsidR="000F3DF0" w:rsidRPr="00F61508" w:rsidRDefault="000F3DF0" w:rsidP="000F3DF0"/>
    <w:p w14:paraId="69119F8D" w14:textId="77777777" w:rsidR="000F3DF0" w:rsidRDefault="000F3DF0" w:rsidP="000F3DF0">
      <w:pPr>
        <w:pStyle w:val="Heading1"/>
        <w:sectPr w:rsidR="000F3DF0" w:rsidSect="00036A7C">
          <w:pgSz w:w="16840" w:h="11900" w:orient="landscape"/>
          <w:pgMar w:top="1417" w:right="1417" w:bottom="1417" w:left="1417" w:header="708" w:footer="708" w:gutter="0"/>
          <w:cols w:space="708"/>
          <w:docGrid w:linePitch="360"/>
        </w:sectPr>
      </w:pPr>
    </w:p>
    <w:p w14:paraId="6422CCAC" w14:textId="77777777" w:rsidR="000F3DF0" w:rsidRPr="004767AA" w:rsidRDefault="000F3DF0" w:rsidP="000F3DF0">
      <w:pPr>
        <w:pStyle w:val="Heading1"/>
      </w:pPr>
      <w:r w:rsidRPr="004767AA">
        <w:lastRenderedPageBreak/>
        <w:t xml:space="preserve">Safeguard (c) 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 </w:t>
      </w:r>
    </w:p>
    <w:p w14:paraId="2612C445" w14:textId="77777777" w:rsidR="000F3DF0" w:rsidRPr="004767AA" w:rsidRDefault="000F3DF0" w:rsidP="000F3DF0"/>
    <w:tbl>
      <w:tblPr>
        <w:tblpPr w:leftFromText="180" w:rightFromText="180" w:vertAnchor="text" w:horzAnchor="page" w:tblpX="793" w:tblpY="590"/>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680"/>
        <w:gridCol w:w="5850"/>
      </w:tblGrid>
      <w:tr w:rsidR="000F3DF0" w:rsidRPr="004767AA" w14:paraId="79DEA092" w14:textId="77777777" w:rsidTr="00036A7C">
        <w:trPr>
          <w:trHeight w:val="796"/>
        </w:trPr>
        <w:tc>
          <w:tcPr>
            <w:tcW w:w="4323" w:type="dxa"/>
            <w:shd w:val="clear" w:color="auto" w:fill="auto"/>
          </w:tcPr>
          <w:p w14:paraId="3900401E" w14:textId="77777777" w:rsidR="000F3DF0" w:rsidRPr="004767AA" w:rsidRDefault="000F3DF0" w:rsidP="00036A7C">
            <w:pPr>
              <w:rPr>
                <w:rFonts w:cs="Calibri"/>
                <w:b/>
                <w:sz w:val="20"/>
                <w:szCs w:val="20"/>
              </w:rPr>
            </w:pPr>
            <w:r w:rsidRPr="004767AA">
              <w:rPr>
                <w:rFonts w:cs="Calibri"/>
                <w:b/>
                <w:sz w:val="20"/>
                <w:szCs w:val="20"/>
              </w:rPr>
              <w:t xml:space="preserve">Safeguard element  </w:t>
            </w:r>
          </w:p>
        </w:tc>
        <w:tc>
          <w:tcPr>
            <w:tcW w:w="4680" w:type="dxa"/>
          </w:tcPr>
          <w:p w14:paraId="59A88973" w14:textId="77777777" w:rsidR="000F3DF0" w:rsidRPr="004767AA" w:rsidRDefault="000F3DF0" w:rsidP="00036A7C">
            <w:pPr>
              <w:rPr>
                <w:rFonts w:cs="Calibri"/>
                <w:b/>
                <w:sz w:val="20"/>
                <w:szCs w:val="20"/>
              </w:rPr>
            </w:pPr>
            <w:r w:rsidRPr="004767AA">
              <w:rPr>
                <w:rFonts w:cs="Calibri"/>
                <w:b/>
                <w:sz w:val="20"/>
                <w:szCs w:val="20"/>
              </w:rPr>
              <w:t>Types of information that could be provided to demonstrate how the safeguard is being addressed</w:t>
            </w:r>
          </w:p>
        </w:tc>
        <w:tc>
          <w:tcPr>
            <w:tcW w:w="5850" w:type="dxa"/>
          </w:tcPr>
          <w:p w14:paraId="31ADF6B7" w14:textId="77777777" w:rsidR="000F3DF0" w:rsidRPr="004767AA" w:rsidRDefault="000F3DF0" w:rsidP="00036A7C">
            <w:pPr>
              <w:rPr>
                <w:rFonts w:cs="Calibri"/>
                <w:b/>
                <w:sz w:val="20"/>
                <w:szCs w:val="20"/>
              </w:rPr>
            </w:pPr>
            <w:r w:rsidRPr="004767AA">
              <w:rPr>
                <w:rFonts w:cs="Calibri"/>
                <w:b/>
                <w:sz w:val="20"/>
                <w:szCs w:val="20"/>
              </w:rPr>
              <w:t>Types of information to be provided to demonstrate how the safeguard has been respected</w:t>
            </w:r>
          </w:p>
        </w:tc>
      </w:tr>
      <w:tr w:rsidR="000F3DF0" w:rsidRPr="004767AA" w14:paraId="1AB02424" w14:textId="77777777" w:rsidTr="00036A7C">
        <w:trPr>
          <w:trHeight w:val="1093"/>
        </w:trPr>
        <w:tc>
          <w:tcPr>
            <w:tcW w:w="4323" w:type="dxa"/>
            <w:shd w:val="clear" w:color="auto" w:fill="auto"/>
          </w:tcPr>
          <w:p w14:paraId="6CC2F5ED" w14:textId="77777777" w:rsidR="000F3DF0" w:rsidRPr="00F63590" w:rsidRDefault="000F3DF0" w:rsidP="00036A7C">
            <w:pPr>
              <w:rPr>
                <w:rFonts w:cs="Calibri"/>
                <w:sz w:val="20"/>
                <w:szCs w:val="20"/>
              </w:rPr>
            </w:pPr>
            <w:r w:rsidRPr="00F63590">
              <w:rPr>
                <w:sz w:val="20"/>
                <w:szCs w:val="20"/>
              </w:rPr>
              <w:t xml:space="preserve">Respect for the </w:t>
            </w:r>
            <w:r w:rsidRPr="00F63590">
              <w:rPr>
                <w:sz w:val="20"/>
                <w:szCs w:val="20"/>
                <w:u w:val="single"/>
              </w:rPr>
              <w:t>knowledge</w:t>
            </w:r>
            <w:r w:rsidRPr="00F63590">
              <w:rPr>
                <w:sz w:val="20"/>
                <w:szCs w:val="20"/>
              </w:rPr>
              <w:t xml:space="preserve"> of local and forest fringe communities when developing and implementing REDD+ interventions/PaMs</w:t>
            </w:r>
          </w:p>
        </w:tc>
        <w:tc>
          <w:tcPr>
            <w:tcW w:w="4680" w:type="dxa"/>
          </w:tcPr>
          <w:p w14:paraId="0E616CBA" w14:textId="77777777" w:rsidR="000F3DF0" w:rsidRPr="00FF460E" w:rsidRDefault="000F3DF0" w:rsidP="0039326F">
            <w:pPr>
              <w:pStyle w:val="FootnoteText"/>
              <w:numPr>
                <w:ilvl w:val="0"/>
                <w:numId w:val="28"/>
              </w:numPr>
              <w:jc w:val="left"/>
              <w:rPr>
                <w:rFonts w:cs="Calibri"/>
                <w:sz w:val="20"/>
                <w:szCs w:val="20"/>
              </w:rPr>
            </w:pPr>
            <w:r w:rsidRPr="00C03431">
              <w:rPr>
                <w:rFonts w:cs="Calibri"/>
                <w:sz w:val="20"/>
                <w:szCs w:val="20"/>
              </w:rPr>
              <w:t xml:space="preserve">Description of </w:t>
            </w:r>
            <w:r>
              <w:rPr>
                <w:rFonts w:cs="Calibri"/>
                <w:sz w:val="20"/>
                <w:szCs w:val="20"/>
              </w:rPr>
              <w:t>how traditional knowledge of local communities is dealt with</w:t>
            </w:r>
            <w:r w:rsidRPr="00FF460E">
              <w:rPr>
                <w:rFonts w:cs="Calibri"/>
                <w:sz w:val="20"/>
                <w:szCs w:val="20"/>
              </w:rPr>
              <w:t xml:space="preserve"> in Ghana </w:t>
            </w:r>
            <w:r>
              <w:rPr>
                <w:rFonts w:cs="Calibri"/>
                <w:sz w:val="20"/>
                <w:szCs w:val="20"/>
              </w:rPr>
              <w:t>(laws, institutions)</w:t>
            </w:r>
          </w:p>
          <w:p w14:paraId="4A94D723" w14:textId="77777777" w:rsidR="000F3DF0" w:rsidRDefault="000F3DF0" w:rsidP="0039326F">
            <w:pPr>
              <w:pStyle w:val="FootnoteText"/>
              <w:numPr>
                <w:ilvl w:val="0"/>
                <w:numId w:val="28"/>
              </w:numPr>
              <w:jc w:val="left"/>
              <w:rPr>
                <w:rFonts w:cs="Calibri"/>
                <w:sz w:val="20"/>
                <w:szCs w:val="20"/>
              </w:rPr>
            </w:pPr>
            <w:r w:rsidRPr="00FF460E">
              <w:rPr>
                <w:rFonts w:cs="Calibri"/>
                <w:sz w:val="20"/>
                <w:szCs w:val="20"/>
              </w:rPr>
              <w:t xml:space="preserve">Description </w:t>
            </w:r>
            <w:r>
              <w:rPr>
                <w:rFonts w:cs="Calibri"/>
                <w:sz w:val="20"/>
                <w:szCs w:val="20"/>
              </w:rPr>
              <w:t>any additional REDD+ specific</w:t>
            </w:r>
            <w:r w:rsidRPr="00FF460E">
              <w:rPr>
                <w:rFonts w:cs="Calibri"/>
                <w:sz w:val="20"/>
                <w:szCs w:val="20"/>
              </w:rPr>
              <w:t xml:space="preserve"> </w:t>
            </w:r>
            <w:r>
              <w:rPr>
                <w:rFonts w:cs="Calibri"/>
                <w:sz w:val="20"/>
                <w:szCs w:val="20"/>
              </w:rPr>
              <w:t>regime/</w:t>
            </w:r>
            <w:r w:rsidRPr="00FF460E">
              <w:rPr>
                <w:rFonts w:cs="Calibri"/>
                <w:sz w:val="20"/>
                <w:szCs w:val="20"/>
              </w:rPr>
              <w:t xml:space="preserve">arrangements </w:t>
            </w:r>
            <w:r>
              <w:rPr>
                <w:rFonts w:cs="Calibri"/>
                <w:sz w:val="20"/>
                <w:szCs w:val="20"/>
              </w:rPr>
              <w:t>(protocols, guidelines, institutional arrangements) in place to recognise/respect traditional knowledge during design and implementation of REDD+ in Ghana (macro)</w:t>
            </w:r>
          </w:p>
          <w:p w14:paraId="4B0E4310" w14:textId="77777777" w:rsidR="000F3DF0" w:rsidRDefault="000F3DF0" w:rsidP="0039326F">
            <w:pPr>
              <w:pStyle w:val="FootnoteText"/>
              <w:numPr>
                <w:ilvl w:val="0"/>
                <w:numId w:val="28"/>
              </w:numPr>
              <w:jc w:val="left"/>
              <w:rPr>
                <w:rFonts w:cs="Calibri"/>
                <w:sz w:val="20"/>
                <w:szCs w:val="20"/>
              </w:rPr>
            </w:pPr>
            <w:r w:rsidRPr="00FF460E">
              <w:rPr>
                <w:rFonts w:cs="Calibri"/>
                <w:sz w:val="20"/>
                <w:szCs w:val="20"/>
              </w:rPr>
              <w:t xml:space="preserve">Description </w:t>
            </w:r>
            <w:r>
              <w:rPr>
                <w:rFonts w:cs="Calibri"/>
                <w:sz w:val="20"/>
                <w:szCs w:val="20"/>
              </w:rPr>
              <w:t>any additional REDD+ specific</w:t>
            </w:r>
            <w:r w:rsidRPr="00FF460E">
              <w:rPr>
                <w:rFonts w:cs="Calibri"/>
                <w:sz w:val="20"/>
                <w:szCs w:val="20"/>
              </w:rPr>
              <w:t xml:space="preserve"> </w:t>
            </w:r>
            <w:r>
              <w:rPr>
                <w:rFonts w:cs="Calibri"/>
                <w:sz w:val="20"/>
                <w:szCs w:val="20"/>
              </w:rPr>
              <w:t>regime/</w:t>
            </w:r>
            <w:r w:rsidRPr="00FF460E">
              <w:rPr>
                <w:rFonts w:cs="Calibri"/>
                <w:sz w:val="20"/>
                <w:szCs w:val="20"/>
              </w:rPr>
              <w:t xml:space="preserve">arrangements </w:t>
            </w:r>
            <w:r>
              <w:rPr>
                <w:rFonts w:cs="Calibri"/>
                <w:sz w:val="20"/>
                <w:szCs w:val="20"/>
              </w:rPr>
              <w:t>(protocols, guidelines, institutional arrangements) in place to recognise/respect traditional knowledge during design and implementation of specific REDD+ interventions/PaMs  (micro)</w:t>
            </w:r>
          </w:p>
          <w:p w14:paraId="7D2FA57C" w14:textId="77777777" w:rsidR="000F3DF0" w:rsidRPr="004767AA" w:rsidRDefault="000F3DF0" w:rsidP="00036A7C">
            <w:pPr>
              <w:pStyle w:val="FootnoteText"/>
              <w:rPr>
                <w:rFonts w:cs="Calibri"/>
                <w:sz w:val="20"/>
                <w:szCs w:val="20"/>
              </w:rPr>
            </w:pPr>
          </w:p>
        </w:tc>
        <w:tc>
          <w:tcPr>
            <w:tcW w:w="5850" w:type="dxa"/>
          </w:tcPr>
          <w:p w14:paraId="27EC7CBC" w14:textId="77777777" w:rsidR="000F3DF0" w:rsidRDefault="000F3DF0" w:rsidP="00036A7C">
            <w:pPr>
              <w:pStyle w:val="FootnoteText"/>
              <w:rPr>
                <w:rFonts w:cs="Times"/>
                <w:sz w:val="20"/>
                <w:szCs w:val="20"/>
              </w:rPr>
            </w:pPr>
            <w:r>
              <w:rPr>
                <w:rFonts w:cs="Times"/>
                <w:sz w:val="20"/>
                <w:szCs w:val="20"/>
              </w:rPr>
              <w:t>Qualitative</w:t>
            </w:r>
          </w:p>
          <w:p w14:paraId="367A0759" w14:textId="77777777" w:rsidR="000F3DF0" w:rsidRDefault="000F3DF0" w:rsidP="00036A7C">
            <w:pPr>
              <w:pStyle w:val="FootnoteText"/>
              <w:rPr>
                <w:rFonts w:cs="Times"/>
                <w:sz w:val="20"/>
                <w:szCs w:val="20"/>
              </w:rPr>
            </w:pPr>
          </w:p>
          <w:p w14:paraId="0278AD04" w14:textId="77777777" w:rsidR="000F3DF0" w:rsidRPr="003032E6" w:rsidRDefault="000F3DF0" w:rsidP="0039326F">
            <w:pPr>
              <w:pStyle w:val="FootnoteText"/>
              <w:numPr>
                <w:ilvl w:val="0"/>
                <w:numId w:val="34"/>
              </w:numPr>
              <w:jc w:val="left"/>
              <w:rPr>
                <w:rFonts w:cs="Calibri"/>
                <w:sz w:val="20"/>
                <w:szCs w:val="20"/>
              </w:rPr>
            </w:pPr>
            <w:r w:rsidRPr="004767AA">
              <w:rPr>
                <w:rFonts w:cs="Times"/>
                <w:sz w:val="20"/>
                <w:szCs w:val="20"/>
              </w:rPr>
              <w:t>Description of how (if at all) traditional knowledge has been respected/has contributed to REDD+ PaM implementation</w:t>
            </w:r>
            <w:r>
              <w:rPr>
                <w:rFonts w:cs="Times"/>
                <w:sz w:val="20"/>
                <w:szCs w:val="20"/>
              </w:rPr>
              <w:t xml:space="preserve"> (macro)</w:t>
            </w:r>
          </w:p>
          <w:p w14:paraId="6A921119" w14:textId="77777777" w:rsidR="000F3DF0" w:rsidRPr="003032E6" w:rsidRDefault="000F3DF0" w:rsidP="0039326F">
            <w:pPr>
              <w:pStyle w:val="FootnoteText"/>
              <w:numPr>
                <w:ilvl w:val="0"/>
                <w:numId w:val="34"/>
              </w:numPr>
              <w:jc w:val="left"/>
              <w:rPr>
                <w:rFonts w:cs="Calibri"/>
                <w:sz w:val="20"/>
                <w:szCs w:val="20"/>
              </w:rPr>
            </w:pPr>
            <w:r w:rsidRPr="004767AA">
              <w:rPr>
                <w:rFonts w:cs="Times"/>
                <w:sz w:val="20"/>
                <w:szCs w:val="20"/>
              </w:rPr>
              <w:t xml:space="preserve">Description of how (if at all) traditional knowledge has been respected/has contributed to </w:t>
            </w:r>
            <w:r>
              <w:rPr>
                <w:rFonts w:cs="Times"/>
                <w:sz w:val="20"/>
                <w:szCs w:val="20"/>
              </w:rPr>
              <w:t xml:space="preserve">specific </w:t>
            </w:r>
            <w:r w:rsidRPr="004767AA">
              <w:rPr>
                <w:rFonts w:cs="Times"/>
                <w:sz w:val="20"/>
                <w:szCs w:val="20"/>
              </w:rPr>
              <w:t xml:space="preserve">REDD+ </w:t>
            </w:r>
            <w:r>
              <w:rPr>
                <w:rFonts w:cs="Times"/>
                <w:sz w:val="20"/>
                <w:szCs w:val="20"/>
              </w:rPr>
              <w:t>intervention/</w:t>
            </w:r>
            <w:r w:rsidRPr="004767AA">
              <w:rPr>
                <w:rFonts w:cs="Times"/>
                <w:sz w:val="20"/>
                <w:szCs w:val="20"/>
              </w:rPr>
              <w:t>PaM implementation</w:t>
            </w:r>
            <w:r>
              <w:rPr>
                <w:rFonts w:cs="Times"/>
                <w:sz w:val="20"/>
                <w:szCs w:val="20"/>
              </w:rPr>
              <w:t xml:space="preserve"> (micro)</w:t>
            </w:r>
          </w:p>
          <w:p w14:paraId="00A6D118" w14:textId="77777777" w:rsidR="000F3DF0" w:rsidRPr="004767AA" w:rsidRDefault="000F3DF0" w:rsidP="00036A7C">
            <w:pPr>
              <w:pStyle w:val="FootnoteText"/>
              <w:ind w:left="360"/>
              <w:rPr>
                <w:rFonts w:cs="Calibri"/>
                <w:sz w:val="20"/>
                <w:szCs w:val="20"/>
              </w:rPr>
            </w:pPr>
          </w:p>
        </w:tc>
      </w:tr>
      <w:tr w:rsidR="000F3DF0" w:rsidRPr="001C2734" w14:paraId="51E67877" w14:textId="77777777" w:rsidTr="00036A7C">
        <w:trPr>
          <w:trHeight w:val="3631"/>
        </w:trPr>
        <w:tc>
          <w:tcPr>
            <w:tcW w:w="4323" w:type="dxa"/>
            <w:shd w:val="clear" w:color="auto" w:fill="auto"/>
          </w:tcPr>
          <w:p w14:paraId="7267492D" w14:textId="77777777" w:rsidR="000F3DF0" w:rsidRPr="00F63590" w:rsidRDefault="000F3DF0" w:rsidP="00036A7C">
            <w:pPr>
              <w:rPr>
                <w:rFonts w:cs="Calibri"/>
                <w:sz w:val="20"/>
                <w:szCs w:val="20"/>
              </w:rPr>
            </w:pPr>
            <w:r w:rsidRPr="00F63590">
              <w:rPr>
                <w:sz w:val="20"/>
                <w:szCs w:val="20"/>
              </w:rPr>
              <w:lastRenderedPageBreak/>
              <w:t xml:space="preserve">Respect for the </w:t>
            </w:r>
            <w:r w:rsidRPr="00F63590">
              <w:rPr>
                <w:sz w:val="20"/>
                <w:szCs w:val="20"/>
                <w:u w:val="single"/>
              </w:rPr>
              <w:t>rights</w:t>
            </w:r>
            <w:r w:rsidRPr="00F63590">
              <w:rPr>
                <w:sz w:val="20"/>
                <w:szCs w:val="20"/>
              </w:rPr>
              <w:t xml:space="preserve"> of local, and forest fringe communities when developing and implementing REDD+ interventions/PaMs</w:t>
            </w:r>
          </w:p>
        </w:tc>
        <w:tc>
          <w:tcPr>
            <w:tcW w:w="4680" w:type="dxa"/>
          </w:tcPr>
          <w:p w14:paraId="7F6F2F5A" w14:textId="77777777" w:rsidR="000F3DF0" w:rsidRDefault="000F3DF0" w:rsidP="0039326F">
            <w:pPr>
              <w:pStyle w:val="FootnoteText"/>
              <w:numPr>
                <w:ilvl w:val="0"/>
                <w:numId w:val="35"/>
              </w:numPr>
              <w:rPr>
                <w:sz w:val="20"/>
                <w:szCs w:val="20"/>
              </w:rPr>
            </w:pPr>
            <w:r w:rsidRPr="001C2734">
              <w:rPr>
                <w:sz w:val="20"/>
                <w:szCs w:val="20"/>
              </w:rPr>
              <w:t>Description of how the   customs traditions and institutions of local communities are respected in Ghana</w:t>
            </w:r>
            <w:r>
              <w:rPr>
                <w:sz w:val="20"/>
                <w:szCs w:val="20"/>
              </w:rPr>
              <w:t xml:space="preserve"> (laws, institutions)</w:t>
            </w:r>
          </w:p>
          <w:p w14:paraId="67789CC9" w14:textId="77777777" w:rsidR="000F3DF0" w:rsidRDefault="000F3DF0" w:rsidP="0039326F">
            <w:pPr>
              <w:pStyle w:val="FootnoteText"/>
              <w:numPr>
                <w:ilvl w:val="0"/>
                <w:numId w:val="35"/>
              </w:numPr>
              <w:rPr>
                <w:sz w:val="20"/>
                <w:szCs w:val="20"/>
              </w:rPr>
            </w:pPr>
            <w:r w:rsidRPr="00EF0BC8">
              <w:rPr>
                <w:rFonts w:cs="Calibri"/>
                <w:sz w:val="20"/>
                <w:szCs w:val="20"/>
              </w:rPr>
              <w:t xml:space="preserve">Description </w:t>
            </w:r>
            <w:r>
              <w:rPr>
                <w:rFonts w:cs="Calibri"/>
                <w:sz w:val="20"/>
                <w:szCs w:val="20"/>
              </w:rPr>
              <w:t xml:space="preserve">of </w:t>
            </w:r>
            <w:r w:rsidRPr="00EF0BC8">
              <w:rPr>
                <w:rFonts w:cs="Calibri"/>
                <w:sz w:val="20"/>
                <w:szCs w:val="20"/>
              </w:rPr>
              <w:t xml:space="preserve">any additional REDD+ specific regime/arrangements (protocols, guidelines, institutional arrangements) </w:t>
            </w:r>
            <w:r w:rsidRPr="00EF0BC8">
              <w:rPr>
                <w:sz w:val="20"/>
                <w:szCs w:val="20"/>
              </w:rPr>
              <w:t xml:space="preserve">in place to ensure that </w:t>
            </w:r>
            <w:r>
              <w:rPr>
                <w:sz w:val="20"/>
                <w:szCs w:val="20"/>
              </w:rPr>
              <w:t xml:space="preserve">vulnerable communities </w:t>
            </w:r>
            <w:r w:rsidRPr="001C2734">
              <w:rPr>
                <w:rFonts w:cs="Times"/>
                <w:sz w:val="20"/>
                <w:szCs w:val="20"/>
              </w:rPr>
              <w:t>are not excluded from the benefits of REDD+ or are not left worse off</w:t>
            </w:r>
            <w:r w:rsidRPr="00EF0BC8">
              <w:rPr>
                <w:sz w:val="20"/>
                <w:szCs w:val="20"/>
              </w:rPr>
              <w:t xml:space="preserve"> </w:t>
            </w:r>
            <w:r>
              <w:rPr>
                <w:sz w:val="20"/>
                <w:szCs w:val="20"/>
              </w:rPr>
              <w:t>(macro)</w:t>
            </w:r>
            <w:r w:rsidRPr="00EF0BC8">
              <w:rPr>
                <w:sz w:val="20"/>
                <w:szCs w:val="20"/>
              </w:rPr>
              <w:t>.</w:t>
            </w:r>
          </w:p>
          <w:p w14:paraId="1923A60F" w14:textId="77777777" w:rsidR="000F3DF0" w:rsidRDefault="000F3DF0" w:rsidP="0039326F">
            <w:pPr>
              <w:pStyle w:val="FootnoteText"/>
              <w:numPr>
                <w:ilvl w:val="0"/>
                <w:numId w:val="35"/>
              </w:numPr>
              <w:rPr>
                <w:sz w:val="20"/>
                <w:szCs w:val="20"/>
              </w:rPr>
            </w:pPr>
            <w:r w:rsidRPr="00EF0BC8">
              <w:rPr>
                <w:rFonts w:cs="Calibri"/>
                <w:sz w:val="20"/>
                <w:szCs w:val="20"/>
              </w:rPr>
              <w:t xml:space="preserve">Description any additional REDD+ specific regime/arrangements (protocols, guidelines, institutional arrangements) </w:t>
            </w:r>
            <w:r w:rsidRPr="00EF0BC8">
              <w:rPr>
                <w:sz w:val="20"/>
                <w:szCs w:val="20"/>
              </w:rPr>
              <w:t xml:space="preserve">in place to ensure that </w:t>
            </w:r>
            <w:r>
              <w:rPr>
                <w:sz w:val="20"/>
                <w:szCs w:val="20"/>
              </w:rPr>
              <w:t xml:space="preserve">vulnerable communities </w:t>
            </w:r>
            <w:r w:rsidRPr="001C2734">
              <w:rPr>
                <w:rFonts w:cs="Times"/>
                <w:sz w:val="20"/>
                <w:szCs w:val="20"/>
              </w:rPr>
              <w:t xml:space="preserve">are not excluded from the benefits of </w:t>
            </w:r>
            <w:r>
              <w:rPr>
                <w:rFonts w:cs="Times"/>
                <w:sz w:val="20"/>
                <w:szCs w:val="20"/>
              </w:rPr>
              <w:t xml:space="preserve">a specific </w:t>
            </w:r>
            <w:r w:rsidRPr="001C2734">
              <w:rPr>
                <w:rFonts w:cs="Times"/>
                <w:sz w:val="20"/>
                <w:szCs w:val="20"/>
              </w:rPr>
              <w:t xml:space="preserve">REDD+ </w:t>
            </w:r>
            <w:r>
              <w:rPr>
                <w:rFonts w:cs="Times"/>
                <w:sz w:val="20"/>
                <w:szCs w:val="20"/>
              </w:rPr>
              <w:t xml:space="preserve">intervention/PaM </w:t>
            </w:r>
            <w:r w:rsidRPr="001C2734">
              <w:rPr>
                <w:rFonts w:cs="Times"/>
                <w:sz w:val="20"/>
                <w:szCs w:val="20"/>
              </w:rPr>
              <w:t>or are not left worse off</w:t>
            </w:r>
            <w:r w:rsidRPr="00EF0BC8">
              <w:rPr>
                <w:sz w:val="20"/>
                <w:szCs w:val="20"/>
              </w:rPr>
              <w:t xml:space="preserve"> </w:t>
            </w:r>
            <w:r>
              <w:rPr>
                <w:sz w:val="20"/>
                <w:szCs w:val="20"/>
              </w:rPr>
              <w:t>(micro)</w:t>
            </w:r>
            <w:r w:rsidRPr="00EF0BC8">
              <w:rPr>
                <w:sz w:val="20"/>
                <w:szCs w:val="20"/>
              </w:rPr>
              <w:t>.</w:t>
            </w:r>
          </w:p>
          <w:p w14:paraId="07A65B87" w14:textId="77777777" w:rsidR="000F3DF0" w:rsidRDefault="000F3DF0" w:rsidP="00036A7C">
            <w:pPr>
              <w:pStyle w:val="FootnoteText"/>
              <w:ind w:left="360"/>
              <w:rPr>
                <w:sz w:val="20"/>
                <w:szCs w:val="20"/>
              </w:rPr>
            </w:pPr>
          </w:p>
          <w:p w14:paraId="141207DD" w14:textId="77777777" w:rsidR="000F3DF0" w:rsidRPr="00843C50" w:rsidRDefault="000F3DF0" w:rsidP="0039326F">
            <w:pPr>
              <w:pStyle w:val="FootnoteText"/>
              <w:numPr>
                <w:ilvl w:val="0"/>
                <w:numId w:val="35"/>
              </w:numPr>
              <w:rPr>
                <w:sz w:val="20"/>
                <w:szCs w:val="20"/>
              </w:rPr>
            </w:pPr>
            <w:r w:rsidRPr="00843C50">
              <w:rPr>
                <w:rFonts w:cs="Calibri"/>
                <w:sz w:val="20"/>
                <w:szCs w:val="20"/>
              </w:rPr>
              <w:t>Description of how</w:t>
            </w:r>
            <w:r>
              <w:rPr>
                <w:rFonts w:cs="Calibri"/>
                <w:sz w:val="20"/>
                <w:szCs w:val="20"/>
              </w:rPr>
              <w:t xml:space="preserve"> (if at all)</w:t>
            </w:r>
            <w:r w:rsidRPr="00843C50">
              <w:rPr>
                <w:rFonts w:cs="Calibri"/>
                <w:sz w:val="20"/>
                <w:szCs w:val="20"/>
              </w:rPr>
              <w:t xml:space="preserve"> traditional decision-making authorities are integrated into the institutional arrangements for REDD+</w:t>
            </w:r>
            <w:r>
              <w:rPr>
                <w:rFonts w:cs="Calibri"/>
                <w:sz w:val="20"/>
                <w:szCs w:val="20"/>
              </w:rPr>
              <w:t xml:space="preserve"> (macro)</w:t>
            </w:r>
          </w:p>
          <w:p w14:paraId="12C45725" w14:textId="77777777" w:rsidR="000F3DF0" w:rsidRPr="00C03431" w:rsidRDefault="000F3DF0" w:rsidP="0039326F">
            <w:pPr>
              <w:pStyle w:val="FootnoteText"/>
              <w:numPr>
                <w:ilvl w:val="0"/>
                <w:numId w:val="35"/>
              </w:numPr>
              <w:rPr>
                <w:sz w:val="20"/>
                <w:szCs w:val="20"/>
              </w:rPr>
            </w:pPr>
            <w:r w:rsidRPr="00C03431">
              <w:rPr>
                <w:rFonts w:cs="Calibri"/>
                <w:sz w:val="20"/>
                <w:szCs w:val="20"/>
              </w:rPr>
              <w:t>Description of how</w:t>
            </w:r>
            <w:r>
              <w:rPr>
                <w:rFonts w:cs="Calibri"/>
                <w:sz w:val="20"/>
                <w:szCs w:val="20"/>
              </w:rPr>
              <w:t xml:space="preserve"> (if at all)</w:t>
            </w:r>
            <w:r w:rsidRPr="00C03431">
              <w:rPr>
                <w:rFonts w:cs="Calibri"/>
                <w:sz w:val="20"/>
                <w:szCs w:val="20"/>
              </w:rPr>
              <w:t xml:space="preserve"> traditional decision-making authorities are integrated into the </w:t>
            </w:r>
            <w:r>
              <w:rPr>
                <w:rFonts w:cs="Calibri"/>
                <w:sz w:val="20"/>
                <w:szCs w:val="20"/>
              </w:rPr>
              <w:t xml:space="preserve">design and/or implementation of a specific </w:t>
            </w:r>
            <w:r w:rsidRPr="00C03431">
              <w:rPr>
                <w:rFonts w:cs="Calibri"/>
                <w:sz w:val="20"/>
                <w:szCs w:val="20"/>
              </w:rPr>
              <w:t>REDD+</w:t>
            </w:r>
            <w:r>
              <w:rPr>
                <w:rFonts w:cs="Calibri"/>
                <w:sz w:val="20"/>
                <w:szCs w:val="20"/>
              </w:rPr>
              <w:t xml:space="preserve"> intervention/PaM (micro)</w:t>
            </w:r>
          </w:p>
          <w:p w14:paraId="114FE037" w14:textId="77777777" w:rsidR="000F3DF0" w:rsidRPr="001C2734" w:rsidRDefault="000F3DF0" w:rsidP="00036A7C">
            <w:pPr>
              <w:pStyle w:val="FootnoteText"/>
              <w:ind w:left="360"/>
              <w:rPr>
                <w:sz w:val="20"/>
                <w:szCs w:val="20"/>
              </w:rPr>
            </w:pPr>
          </w:p>
          <w:p w14:paraId="4059532E" w14:textId="77777777" w:rsidR="000F3DF0" w:rsidRPr="001C2734" w:rsidRDefault="000F3DF0" w:rsidP="00036A7C">
            <w:pPr>
              <w:rPr>
                <w:rFonts w:cs="Calibri"/>
                <w:sz w:val="20"/>
                <w:szCs w:val="20"/>
              </w:rPr>
            </w:pPr>
          </w:p>
        </w:tc>
        <w:tc>
          <w:tcPr>
            <w:tcW w:w="5850" w:type="dxa"/>
          </w:tcPr>
          <w:p w14:paraId="3DD8E434" w14:textId="77777777" w:rsidR="000F3DF0" w:rsidRPr="00284F58" w:rsidRDefault="000F3DF0" w:rsidP="00036A7C">
            <w:pPr>
              <w:rPr>
                <w:rFonts w:cs="Calibri"/>
                <w:b/>
                <w:sz w:val="20"/>
                <w:szCs w:val="20"/>
              </w:rPr>
            </w:pPr>
            <w:r w:rsidRPr="00284F58">
              <w:rPr>
                <w:rFonts w:cs="Calibri"/>
                <w:b/>
                <w:sz w:val="20"/>
                <w:szCs w:val="20"/>
              </w:rPr>
              <w:t>Qualitative</w:t>
            </w:r>
          </w:p>
          <w:p w14:paraId="44B76639" w14:textId="77777777" w:rsidR="000F3DF0" w:rsidRDefault="000F3DF0" w:rsidP="00036A7C">
            <w:pPr>
              <w:rPr>
                <w:rFonts w:cs="Calibri"/>
                <w:sz w:val="20"/>
                <w:szCs w:val="20"/>
              </w:rPr>
            </w:pPr>
          </w:p>
          <w:p w14:paraId="4AD96F8C" w14:textId="77777777" w:rsidR="000F3DF0" w:rsidRDefault="000F3DF0" w:rsidP="0039326F">
            <w:pPr>
              <w:pStyle w:val="ListParagraph"/>
              <w:numPr>
                <w:ilvl w:val="0"/>
                <w:numId w:val="36"/>
              </w:numPr>
              <w:jc w:val="left"/>
              <w:rPr>
                <w:rFonts w:cs="Calibri"/>
                <w:szCs w:val="20"/>
              </w:rPr>
            </w:pPr>
            <w:r w:rsidRPr="00AA282A">
              <w:rPr>
                <w:rFonts w:cs="Calibri"/>
                <w:szCs w:val="20"/>
              </w:rPr>
              <w:t>Description of how</w:t>
            </w:r>
            <w:r>
              <w:rPr>
                <w:rFonts w:cs="Calibri"/>
                <w:szCs w:val="20"/>
              </w:rPr>
              <w:t xml:space="preserve"> traditional </w:t>
            </w:r>
            <w:r w:rsidRPr="00AA282A">
              <w:rPr>
                <w:rFonts w:cs="Calibri"/>
                <w:szCs w:val="20"/>
              </w:rPr>
              <w:t>authorities</w:t>
            </w:r>
            <w:r>
              <w:rPr>
                <w:rFonts w:cs="Calibri"/>
                <w:szCs w:val="20"/>
              </w:rPr>
              <w:t xml:space="preserve"> and/or vulnerable communities</w:t>
            </w:r>
            <w:r w:rsidRPr="00AA282A">
              <w:rPr>
                <w:rFonts w:cs="Calibri"/>
                <w:szCs w:val="20"/>
              </w:rPr>
              <w:t xml:space="preserve"> </w:t>
            </w:r>
            <w:r>
              <w:rPr>
                <w:rFonts w:cs="Calibri"/>
                <w:szCs w:val="20"/>
              </w:rPr>
              <w:t>were involved</w:t>
            </w:r>
            <w:r w:rsidRPr="00AA282A">
              <w:rPr>
                <w:rFonts w:cs="Calibri"/>
                <w:szCs w:val="20"/>
              </w:rPr>
              <w:t xml:space="preserve"> in REDD+ implementation</w:t>
            </w:r>
            <w:r>
              <w:rPr>
                <w:rFonts w:cs="Calibri"/>
                <w:szCs w:val="20"/>
              </w:rPr>
              <w:t xml:space="preserve"> (macro)</w:t>
            </w:r>
          </w:p>
          <w:p w14:paraId="12993BB5" w14:textId="77777777" w:rsidR="000F3DF0" w:rsidRDefault="000F3DF0" w:rsidP="0039326F">
            <w:pPr>
              <w:pStyle w:val="ListParagraph"/>
              <w:numPr>
                <w:ilvl w:val="0"/>
                <w:numId w:val="36"/>
              </w:numPr>
              <w:jc w:val="left"/>
              <w:rPr>
                <w:rFonts w:cs="Calibri"/>
                <w:szCs w:val="20"/>
              </w:rPr>
            </w:pPr>
            <w:r w:rsidRPr="00AA282A">
              <w:rPr>
                <w:rFonts w:cs="Calibri"/>
                <w:szCs w:val="20"/>
              </w:rPr>
              <w:t>Description of how</w:t>
            </w:r>
            <w:r>
              <w:rPr>
                <w:rFonts w:cs="Calibri"/>
                <w:szCs w:val="20"/>
              </w:rPr>
              <w:t xml:space="preserve"> traditional </w:t>
            </w:r>
            <w:r w:rsidRPr="00AA282A">
              <w:rPr>
                <w:rFonts w:cs="Calibri"/>
                <w:szCs w:val="20"/>
              </w:rPr>
              <w:t>authorities</w:t>
            </w:r>
            <w:r>
              <w:rPr>
                <w:rFonts w:cs="Calibri"/>
                <w:szCs w:val="20"/>
              </w:rPr>
              <w:t xml:space="preserve"> and/or vulnerable communities</w:t>
            </w:r>
            <w:r w:rsidRPr="00AA282A">
              <w:rPr>
                <w:rFonts w:cs="Calibri"/>
                <w:szCs w:val="20"/>
              </w:rPr>
              <w:t xml:space="preserve"> </w:t>
            </w:r>
            <w:r>
              <w:rPr>
                <w:rFonts w:cs="Calibri"/>
                <w:szCs w:val="20"/>
              </w:rPr>
              <w:t>were involved</w:t>
            </w:r>
            <w:r w:rsidRPr="00AA282A">
              <w:rPr>
                <w:rFonts w:cs="Calibri"/>
                <w:szCs w:val="20"/>
              </w:rPr>
              <w:t xml:space="preserve"> in</w:t>
            </w:r>
            <w:r>
              <w:rPr>
                <w:rFonts w:cs="Calibri"/>
                <w:szCs w:val="20"/>
              </w:rPr>
              <w:t xml:space="preserve"> the implementation of the specific </w:t>
            </w:r>
            <w:r w:rsidRPr="00AA282A">
              <w:rPr>
                <w:rFonts w:cs="Calibri"/>
                <w:szCs w:val="20"/>
              </w:rPr>
              <w:t xml:space="preserve">REDD+ </w:t>
            </w:r>
            <w:r>
              <w:rPr>
                <w:rFonts w:cs="Calibri"/>
                <w:szCs w:val="20"/>
              </w:rPr>
              <w:t>intervention/PaM (micro)</w:t>
            </w:r>
          </w:p>
          <w:p w14:paraId="1B944D2C" w14:textId="77777777" w:rsidR="000F3DF0" w:rsidRPr="00752D8E" w:rsidRDefault="000F3DF0" w:rsidP="0039326F">
            <w:pPr>
              <w:pStyle w:val="ListParagraph"/>
              <w:numPr>
                <w:ilvl w:val="0"/>
                <w:numId w:val="36"/>
              </w:numPr>
              <w:rPr>
                <w:rFonts w:cstheme="minorHAnsi"/>
                <w:color w:val="000000" w:themeColor="text1"/>
                <w:szCs w:val="20"/>
                <w:lang w:val="vi-VN"/>
              </w:rPr>
            </w:pPr>
            <w:r w:rsidRPr="00752D8E">
              <w:rPr>
                <w:rFonts w:cstheme="minorHAnsi"/>
                <w:color w:val="000000" w:themeColor="text1"/>
                <w:szCs w:val="20"/>
                <w:lang w:val="vi-VN"/>
              </w:rPr>
              <w:t xml:space="preserve">Evidence that </w:t>
            </w:r>
            <w:r w:rsidRPr="00752D8E">
              <w:rPr>
                <w:rFonts w:cs="Times"/>
                <w:color w:val="000000" w:themeColor="text1"/>
                <w:szCs w:val="20"/>
                <w:lang w:val="vi-VN"/>
              </w:rPr>
              <w:t>vulnerable local communities were not excluded from the benefits of REDD+ or are not left worse off</w:t>
            </w:r>
            <w:r>
              <w:rPr>
                <w:rFonts w:cs="Times"/>
                <w:color w:val="000000" w:themeColor="text1"/>
                <w:szCs w:val="20"/>
                <w:lang w:val="vi-VN"/>
              </w:rPr>
              <w:t xml:space="preserve"> (macro)</w:t>
            </w:r>
            <w:r w:rsidRPr="00752D8E">
              <w:rPr>
                <w:rFonts w:cs="Times"/>
                <w:color w:val="000000" w:themeColor="text1"/>
                <w:szCs w:val="20"/>
                <w:lang w:val="vi-VN"/>
              </w:rPr>
              <w:t>.</w:t>
            </w:r>
          </w:p>
          <w:p w14:paraId="2361503A" w14:textId="77777777" w:rsidR="000F3DF0" w:rsidRPr="00752D8E" w:rsidRDefault="000F3DF0" w:rsidP="0039326F">
            <w:pPr>
              <w:pStyle w:val="ListParagraph"/>
              <w:numPr>
                <w:ilvl w:val="0"/>
                <w:numId w:val="36"/>
              </w:numPr>
              <w:rPr>
                <w:rFonts w:cstheme="minorHAnsi"/>
                <w:color w:val="000000" w:themeColor="text1"/>
                <w:szCs w:val="20"/>
                <w:lang w:val="vi-VN"/>
              </w:rPr>
            </w:pPr>
            <w:r w:rsidRPr="00752D8E">
              <w:rPr>
                <w:rFonts w:cstheme="minorHAnsi"/>
                <w:color w:val="000000" w:themeColor="text1"/>
                <w:szCs w:val="20"/>
                <w:lang w:val="vi-VN"/>
              </w:rPr>
              <w:t xml:space="preserve">Evidence that </w:t>
            </w:r>
            <w:r w:rsidRPr="00752D8E">
              <w:rPr>
                <w:rFonts w:cs="Times"/>
                <w:color w:val="000000" w:themeColor="text1"/>
                <w:szCs w:val="20"/>
                <w:lang w:val="vi-VN"/>
              </w:rPr>
              <w:t>vulnerable local communities were not excluded from the benefits of REDD+ or are not left worse off</w:t>
            </w:r>
            <w:r>
              <w:rPr>
                <w:rFonts w:cs="Times"/>
                <w:color w:val="000000" w:themeColor="text1"/>
                <w:szCs w:val="20"/>
                <w:lang w:val="vi-VN"/>
              </w:rPr>
              <w:t xml:space="preserve"> (macro)</w:t>
            </w:r>
            <w:r w:rsidRPr="00752D8E">
              <w:rPr>
                <w:rFonts w:cs="Times"/>
                <w:color w:val="000000" w:themeColor="text1"/>
                <w:szCs w:val="20"/>
                <w:lang w:val="vi-VN"/>
              </w:rPr>
              <w:t>.</w:t>
            </w:r>
          </w:p>
          <w:p w14:paraId="674F803C" w14:textId="77777777" w:rsidR="000F3DF0" w:rsidRPr="00AA282A" w:rsidRDefault="000F3DF0" w:rsidP="0039326F">
            <w:pPr>
              <w:pStyle w:val="ListParagraph"/>
              <w:numPr>
                <w:ilvl w:val="0"/>
                <w:numId w:val="36"/>
              </w:numPr>
              <w:jc w:val="left"/>
              <w:rPr>
                <w:rFonts w:cs="Calibri"/>
                <w:szCs w:val="20"/>
              </w:rPr>
            </w:pPr>
            <w:r w:rsidRPr="00752D8E">
              <w:rPr>
                <w:rFonts w:cstheme="minorHAnsi"/>
                <w:color w:val="000000" w:themeColor="text1"/>
                <w:szCs w:val="20"/>
                <w:lang w:val="vi-VN"/>
              </w:rPr>
              <w:t xml:space="preserve">Evidence that </w:t>
            </w:r>
            <w:r w:rsidRPr="00752D8E">
              <w:rPr>
                <w:rFonts w:cs="Times"/>
                <w:color w:val="000000" w:themeColor="text1"/>
                <w:szCs w:val="20"/>
                <w:lang w:val="vi-VN"/>
              </w:rPr>
              <w:t>vulnerable local communities were not excluded from the benefits</w:t>
            </w:r>
            <w:r>
              <w:rPr>
                <w:rFonts w:cs="Times"/>
                <w:color w:val="000000" w:themeColor="text1"/>
                <w:szCs w:val="20"/>
                <w:lang w:val="vi-VN"/>
              </w:rPr>
              <w:t xml:space="preserve"> of a specific REDD+ intervention/PaM or were not left worse off (micro)</w:t>
            </w:r>
          </w:p>
          <w:p w14:paraId="6FF75C5B" w14:textId="77777777" w:rsidR="000F3DF0" w:rsidRPr="00AA282A" w:rsidRDefault="000F3DF0" w:rsidP="00036A7C">
            <w:pPr>
              <w:pStyle w:val="ListParagraph"/>
              <w:ind w:left="360"/>
              <w:rPr>
                <w:rFonts w:cs="Calibri"/>
                <w:szCs w:val="20"/>
              </w:rPr>
            </w:pPr>
          </w:p>
          <w:p w14:paraId="7F9EF1BC" w14:textId="77777777" w:rsidR="000F3DF0" w:rsidRPr="00284F58" w:rsidRDefault="000F3DF0" w:rsidP="00036A7C">
            <w:pPr>
              <w:rPr>
                <w:rFonts w:cs="Calibri"/>
                <w:b/>
                <w:sz w:val="20"/>
                <w:szCs w:val="20"/>
              </w:rPr>
            </w:pPr>
            <w:r w:rsidRPr="00284F58">
              <w:rPr>
                <w:rFonts w:cs="Calibri"/>
                <w:b/>
                <w:sz w:val="20"/>
                <w:szCs w:val="20"/>
              </w:rPr>
              <w:t>Quantitative</w:t>
            </w:r>
          </w:p>
          <w:p w14:paraId="0FACC20B" w14:textId="77777777" w:rsidR="000F3DF0" w:rsidRDefault="000F3DF0" w:rsidP="00036A7C">
            <w:pPr>
              <w:rPr>
                <w:rFonts w:cs="Calibri"/>
                <w:szCs w:val="20"/>
              </w:rPr>
            </w:pPr>
          </w:p>
          <w:p w14:paraId="719CE680" w14:textId="77777777" w:rsidR="000F3DF0" w:rsidRDefault="000F3DF0" w:rsidP="0039326F">
            <w:pPr>
              <w:pStyle w:val="FootnoteText"/>
              <w:numPr>
                <w:ilvl w:val="0"/>
                <w:numId w:val="29"/>
              </w:numPr>
              <w:jc w:val="left"/>
              <w:rPr>
                <w:rFonts w:cs="Calibri"/>
                <w:sz w:val="20"/>
                <w:szCs w:val="20"/>
              </w:rPr>
            </w:pPr>
            <w:r>
              <w:rPr>
                <w:rFonts w:cs="Calibri"/>
                <w:sz w:val="20"/>
                <w:szCs w:val="20"/>
              </w:rPr>
              <w:t>Outcome statistics (number of vulnerable beneficiaries, amounts disbursed) macro and micro</w:t>
            </w:r>
          </w:p>
          <w:p w14:paraId="2B43B9C8" w14:textId="77777777" w:rsidR="000F3DF0" w:rsidRPr="00284F58" w:rsidRDefault="000F3DF0" w:rsidP="0039326F">
            <w:pPr>
              <w:pStyle w:val="FootnoteText"/>
              <w:numPr>
                <w:ilvl w:val="0"/>
                <w:numId w:val="29"/>
              </w:numPr>
              <w:jc w:val="left"/>
              <w:rPr>
                <w:rFonts w:cs="Calibri"/>
                <w:sz w:val="20"/>
                <w:szCs w:val="20"/>
              </w:rPr>
            </w:pPr>
            <w:r w:rsidRPr="00284F58">
              <w:rPr>
                <w:rFonts w:cstheme="minorHAnsi"/>
                <w:sz w:val="20"/>
                <w:szCs w:val="20"/>
              </w:rPr>
              <w:t>If applicable, n</w:t>
            </w:r>
            <w:r w:rsidRPr="00284F58">
              <w:rPr>
                <w:rFonts w:cstheme="minorHAnsi"/>
                <w:sz w:val="20"/>
                <w:szCs w:val="20"/>
                <w:lang w:val="vi-VN"/>
              </w:rPr>
              <w:t>umber of</w:t>
            </w:r>
            <w:r w:rsidRPr="00284F58">
              <w:rPr>
                <w:rFonts w:cstheme="minorHAnsi"/>
                <w:sz w:val="20"/>
                <w:szCs w:val="20"/>
              </w:rPr>
              <w:t xml:space="preserve"> </w:t>
            </w:r>
            <w:r w:rsidRPr="00284F58">
              <w:rPr>
                <w:rFonts w:cstheme="minorHAnsi"/>
                <w:sz w:val="20"/>
                <w:szCs w:val="20"/>
                <w:lang w:val="vi-VN"/>
              </w:rPr>
              <w:t>sacred</w:t>
            </w:r>
            <w:r w:rsidRPr="00284F58">
              <w:rPr>
                <w:rFonts w:cstheme="minorHAnsi"/>
                <w:sz w:val="20"/>
                <w:szCs w:val="20"/>
              </w:rPr>
              <w:t xml:space="preserve"> </w:t>
            </w:r>
            <w:r>
              <w:rPr>
                <w:rFonts w:cstheme="minorHAnsi"/>
                <w:sz w:val="20"/>
                <w:szCs w:val="20"/>
              </w:rPr>
              <w:t>sites</w:t>
            </w:r>
            <w:r w:rsidRPr="00284F58">
              <w:rPr>
                <w:rFonts w:cstheme="minorHAnsi"/>
                <w:sz w:val="20"/>
                <w:szCs w:val="20"/>
                <w:lang w:val="vi-VN"/>
              </w:rPr>
              <w:t xml:space="preserve"> in REDD+ intervention areas (before and after implementation)</w:t>
            </w:r>
          </w:p>
          <w:p w14:paraId="603AFC1B" w14:textId="77777777" w:rsidR="000F3DF0" w:rsidRPr="00284F58" w:rsidRDefault="000F3DF0" w:rsidP="00036A7C">
            <w:pPr>
              <w:rPr>
                <w:rFonts w:cs="Calibri"/>
                <w:szCs w:val="20"/>
              </w:rPr>
            </w:pPr>
          </w:p>
        </w:tc>
      </w:tr>
    </w:tbl>
    <w:p w14:paraId="11A85336" w14:textId="77777777" w:rsidR="000F3DF0" w:rsidRDefault="000F3DF0" w:rsidP="000F3DF0">
      <w:pPr>
        <w:pStyle w:val="Heading1"/>
      </w:pPr>
    </w:p>
    <w:p w14:paraId="018CFA44" w14:textId="77777777" w:rsidR="000F3DF0" w:rsidRDefault="000F3DF0" w:rsidP="000F3DF0">
      <w:pPr>
        <w:pStyle w:val="Heading1"/>
      </w:pPr>
    </w:p>
    <w:p w14:paraId="1869A64C" w14:textId="77777777" w:rsidR="000F3DF0" w:rsidRDefault="000F3DF0" w:rsidP="000F3DF0">
      <w:pPr>
        <w:pStyle w:val="Heading1"/>
        <w:spacing w:before="0"/>
      </w:pPr>
    </w:p>
    <w:p w14:paraId="281D6FCE" w14:textId="77777777" w:rsidR="000F3DF0" w:rsidRPr="00284F58" w:rsidRDefault="000F3DF0" w:rsidP="000F3DF0"/>
    <w:p w14:paraId="0C56E7AD" w14:textId="77777777" w:rsidR="000F3DF0" w:rsidRPr="00F02213" w:rsidRDefault="000F3DF0" w:rsidP="000F3DF0">
      <w:pPr>
        <w:pStyle w:val="Heading1"/>
        <w:spacing w:before="0"/>
      </w:pPr>
      <w:r w:rsidRPr="00F02213">
        <w:lastRenderedPageBreak/>
        <w:t>Safeguard (d) The full and effective participation of relevant stakeholders, in particular indigenous peoples and local communities, in the actions referred to in paragraphs 70 and 72 of this decision</w:t>
      </w:r>
    </w:p>
    <w:p w14:paraId="7D028BA8" w14:textId="77777777" w:rsidR="000F3DF0" w:rsidRPr="00F02213" w:rsidRDefault="000F3DF0" w:rsidP="000F3DF0"/>
    <w:tbl>
      <w:tblPr>
        <w:tblW w:w="14929"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938"/>
        <w:gridCol w:w="5255"/>
        <w:gridCol w:w="5679"/>
      </w:tblGrid>
      <w:tr w:rsidR="000F3DF0" w:rsidRPr="00853D7A" w14:paraId="570426BA" w14:textId="77777777" w:rsidTr="00036A7C">
        <w:trPr>
          <w:trHeight w:val="1120"/>
        </w:trPr>
        <w:tc>
          <w:tcPr>
            <w:tcW w:w="2057" w:type="dxa"/>
            <w:shd w:val="clear" w:color="auto" w:fill="auto"/>
          </w:tcPr>
          <w:p w14:paraId="65B4B03E" w14:textId="77777777" w:rsidR="000F3DF0" w:rsidRPr="001B0321" w:rsidRDefault="000F3DF0" w:rsidP="00036A7C">
            <w:pPr>
              <w:rPr>
                <w:sz w:val="20"/>
                <w:szCs w:val="20"/>
              </w:rPr>
            </w:pPr>
            <w:r w:rsidRPr="00F02213">
              <w:rPr>
                <w:rFonts w:cs="Calibri"/>
                <w:b/>
                <w:sz w:val="20"/>
                <w:szCs w:val="20"/>
              </w:rPr>
              <w:t xml:space="preserve">Safeguard </w:t>
            </w:r>
            <w:r>
              <w:rPr>
                <w:rFonts w:cs="Calibri"/>
                <w:b/>
                <w:sz w:val="20"/>
                <w:szCs w:val="20"/>
              </w:rPr>
              <w:t>element</w:t>
            </w:r>
          </w:p>
        </w:tc>
        <w:tc>
          <w:tcPr>
            <w:tcW w:w="1938" w:type="dxa"/>
            <w:shd w:val="clear" w:color="auto" w:fill="auto"/>
          </w:tcPr>
          <w:p w14:paraId="5FDA14A9" w14:textId="77777777" w:rsidR="000F3DF0" w:rsidRPr="00853D7A" w:rsidRDefault="000F3DF0" w:rsidP="00036A7C">
            <w:pPr>
              <w:rPr>
                <w:rFonts w:cs="Calibri"/>
                <w:b/>
                <w:sz w:val="20"/>
                <w:szCs w:val="20"/>
              </w:rPr>
            </w:pPr>
            <w:r w:rsidRPr="00853D7A">
              <w:rPr>
                <w:rFonts w:cs="Calibri"/>
                <w:b/>
                <w:sz w:val="20"/>
                <w:szCs w:val="20"/>
              </w:rPr>
              <w:t>Safeguard sub-element (if applicable)</w:t>
            </w:r>
          </w:p>
          <w:p w14:paraId="4C5784F0" w14:textId="77777777" w:rsidR="000F3DF0" w:rsidRPr="001B0321" w:rsidRDefault="000F3DF0" w:rsidP="00036A7C">
            <w:pPr>
              <w:rPr>
                <w:szCs w:val="22"/>
              </w:rPr>
            </w:pPr>
          </w:p>
          <w:p w14:paraId="5493DA75" w14:textId="77777777" w:rsidR="000F3DF0" w:rsidRPr="00F02213" w:rsidRDefault="000F3DF0" w:rsidP="00036A7C">
            <w:pPr>
              <w:rPr>
                <w:rFonts w:cs="Calibri"/>
                <w:b/>
                <w:sz w:val="20"/>
                <w:szCs w:val="20"/>
              </w:rPr>
            </w:pPr>
          </w:p>
        </w:tc>
        <w:tc>
          <w:tcPr>
            <w:tcW w:w="5255" w:type="dxa"/>
          </w:tcPr>
          <w:p w14:paraId="47308A3A" w14:textId="77777777" w:rsidR="000F3DF0" w:rsidRPr="00F02213" w:rsidRDefault="000F3DF0" w:rsidP="00036A7C">
            <w:pPr>
              <w:rPr>
                <w:rFonts w:cs="Calibri"/>
                <w:b/>
                <w:sz w:val="20"/>
                <w:szCs w:val="20"/>
              </w:rPr>
            </w:pPr>
            <w:r w:rsidRPr="00F02213">
              <w:rPr>
                <w:rFonts w:cs="Calibri"/>
                <w:b/>
                <w:sz w:val="20"/>
                <w:szCs w:val="20"/>
              </w:rPr>
              <w:t>Types of information that could be provided to demonstrate how the safeguard is being addressed</w:t>
            </w:r>
          </w:p>
        </w:tc>
        <w:tc>
          <w:tcPr>
            <w:tcW w:w="5679" w:type="dxa"/>
          </w:tcPr>
          <w:p w14:paraId="2C33B71A" w14:textId="77777777" w:rsidR="000F3DF0" w:rsidRPr="00F02213" w:rsidRDefault="000F3DF0" w:rsidP="00036A7C">
            <w:pPr>
              <w:rPr>
                <w:rFonts w:cs="Calibri"/>
                <w:b/>
                <w:sz w:val="20"/>
                <w:szCs w:val="20"/>
              </w:rPr>
            </w:pPr>
            <w:r w:rsidRPr="00F02213">
              <w:rPr>
                <w:rFonts w:cs="Calibri"/>
                <w:b/>
                <w:sz w:val="20"/>
                <w:szCs w:val="20"/>
              </w:rPr>
              <w:t>Types of information to be provided to demonstrate how the safeguard has been respected</w:t>
            </w:r>
          </w:p>
        </w:tc>
      </w:tr>
      <w:tr w:rsidR="000F3DF0" w:rsidRPr="00853D7A" w14:paraId="35E69238" w14:textId="77777777" w:rsidTr="00036A7C">
        <w:trPr>
          <w:trHeight w:val="1525"/>
        </w:trPr>
        <w:tc>
          <w:tcPr>
            <w:tcW w:w="2057" w:type="dxa"/>
            <w:shd w:val="clear" w:color="auto" w:fill="auto"/>
          </w:tcPr>
          <w:p w14:paraId="554E95F2" w14:textId="77777777" w:rsidR="000F3DF0" w:rsidRPr="00284F58" w:rsidRDefault="000F3DF0" w:rsidP="00036A7C">
            <w:pPr>
              <w:rPr>
                <w:sz w:val="20"/>
                <w:szCs w:val="20"/>
              </w:rPr>
            </w:pPr>
            <w:r w:rsidRPr="00F02213">
              <w:rPr>
                <w:sz w:val="20"/>
                <w:szCs w:val="20"/>
              </w:rPr>
              <w:t>Recognition of the right to full and effective participation</w:t>
            </w:r>
            <w:r w:rsidRPr="00F02213">
              <w:rPr>
                <w:rFonts w:cs="Times"/>
                <w:sz w:val="20"/>
                <w:szCs w:val="20"/>
              </w:rPr>
              <w:t xml:space="preserve"> both during the preparation of the GRS and </w:t>
            </w:r>
            <w:r w:rsidRPr="00F02213">
              <w:rPr>
                <w:sz w:val="20"/>
                <w:szCs w:val="20"/>
              </w:rPr>
              <w:t>throughout the implementation of the proposed REDD+ interventions</w:t>
            </w:r>
          </w:p>
        </w:tc>
        <w:tc>
          <w:tcPr>
            <w:tcW w:w="1938" w:type="dxa"/>
            <w:shd w:val="clear" w:color="auto" w:fill="auto"/>
          </w:tcPr>
          <w:p w14:paraId="42DB3FBA" w14:textId="77777777" w:rsidR="000F3DF0" w:rsidRPr="00F02213" w:rsidRDefault="000F3DF0" w:rsidP="00036A7C">
            <w:pPr>
              <w:rPr>
                <w:rFonts w:cs="Calibri"/>
                <w:b/>
                <w:sz w:val="20"/>
                <w:szCs w:val="20"/>
              </w:rPr>
            </w:pPr>
            <w:r>
              <w:rPr>
                <w:rFonts w:cs="Calibri"/>
                <w:b/>
                <w:sz w:val="20"/>
                <w:szCs w:val="20"/>
              </w:rPr>
              <w:t>N/a</w:t>
            </w:r>
          </w:p>
        </w:tc>
        <w:tc>
          <w:tcPr>
            <w:tcW w:w="5255" w:type="dxa"/>
          </w:tcPr>
          <w:p w14:paraId="7028A21A" w14:textId="77777777" w:rsidR="000F3DF0" w:rsidRPr="00FF460E" w:rsidRDefault="000F3DF0" w:rsidP="0039326F">
            <w:pPr>
              <w:pStyle w:val="FootnoteText"/>
              <w:numPr>
                <w:ilvl w:val="0"/>
                <w:numId w:val="28"/>
              </w:numPr>
              <w:jc w:val="left"/>
              <w:rPr>
                <w:rFonts w:cs="Calibri"/>
                <w:sz w:val="20"/>
                <w:szCs w:val="20"/>
              </w:rPr>
            </w:pPr>
            <w:r w:rsidRPr="00C03431">
              <w:rPr>
                <w:rFonts w:cs="Calibri"/>
                <w:sz w:val="20"/>
                <w:szCs w:val="20"/>
              </w:rPr>
              <w:t xml:space="preserve">Description of </w:t>
            </w:r>
            <w:r>
              <w:rPr>
                <w:rFonts w:cs="Calibri"/>
                <w:sz w:val="20"/>
                <w:szCs w:val="20"/>
              </w:rPr>
              <w:t>how the right to full and effective participation is dealt with</w:t>
            </w:r>
            <w:r w:rsidRPr="00FF460E">
              <w:rPr>
                <w:rFonts w:cs="Calibri"/>
                <w:sz w:val="20"/>
                <w:szCs w:val="20"/>
              </w:rPr>
              <w:t xml:space="preserve"> in Ghana </w:t>
            </w:r>
            <w:r>
              <w:rPr>
                <w:rFonts w:cs="Calibri"/>
                <w:sz w:val="20"/>
                <w:szCs w:val="20"/>
              </w:rPr>
              <w:t>(laws)</w:t>
            </w:r>
          </w:p>
          <w:p w14:paraId="61DFAFFC" w14:textId="77777777" w:rsidR="000F3DF0" w:rsidRDefault="000F3DF0" w:rsidP="00036A7C">
            <w:pPr>
              <w:pStyle w:val="FootnoteText"/>
              <w:rPr>
                <w:rFonts w:cs="Calibri"/>
                <w:sz w:val="20"/>
                <w:szCs w:val="20"/>
              </w:rPr>
            </w:pPr>
          </w:p>
          <w:p w14:paraId="5D6F5027" w14:textId="77777777" w:rsidR="000F3DF0" w:rsidRPr="00F02213" w:rsidRDefault="000F3DF0" w:rsidP="00036A7C">
            <w:pPr>
              <w:widowControl w:val="0"/>
              <w:autoSpaceDE w:val="0"/>
              <w:autoSpaceDN w:val="0"/>
              <w:adjustRightInd w:val="0"/>
              <w:rPr>
                <w:rFonts w:cs="Calibri"/>
                <w:sz w:val="20"/>
                <w:szCs w:val="20"/>
              </w:rPr>
            </w:pPr>
          </w:p>
          <w:p w14:paraId="1262E0CE" w14:textId="77777777" w:rsidR="000F3DF0" w:rsidRPr="00F02213" w:rsidRDefault="000F3DF0" w:rsidP="00036A7C">
            <w:pPr>
              <w:pStyle w:val="FootnoteText"/>
              <w:rPr>
                <w:rFonts w:cs="Calibri"/>
                <w:sz w:val="20"/>
                <w:szCs w:val="20"/>
              </w:rPr>
            </w:pPr>
          </w:p>
        </w:tc>
        <w:tc>
          <w:tcPr>
            <w:tcW w:w="5679" w:type="dxa"/>
          </w:tcPr>
          <w:p w14:paraId="7657033E" w14:textId="77777777" w:rsidR="000F3DF0" w:rsidRPr="00F02213" w:rsidRDefault="000F3DF0" w:rsidP="00036A7C">
            <w:pPr>
              <w:rPr>
                <w:rFonts w:cs="Calibri"/>
                <w:sz w:val="20"/>
                <w:szCs w:val="20"/>
              </w:rPr>
            </w:pPr>
            <w:r w:rsidRPr="00F02213">
              <w:rPr>
                <w:rFonts w:cs="Calibri"/>
                <w:sz w:val="20"/>
                <w:szCs w:val="20"/>
              </w:rPr>
              <w:t>N/A</w:t>
            </w:r>
          </w:p>
          <w:p w14:paraId="03245B83" w14:textId="77777777" w:rsidR="000F3DF0" w:rsidRPr="00F02213" w:rsidRDefault="000F3DF0" w:rsidP="00036A7C">
            <w:pPr>
              <w:rPr>
                <w:rFonts w:cs="Calibri"/>
                <w:sz w:val="20"/>
                <w:szCs w:val="20"/>
              </w:rPr>
            </w:pPr>
          </w:p>
          <w:p w14:paraId="24D758FA" w14:textId="77777777" w:rsidR="000F3DF0" w:rsidRPr="00F02213" w:rsidRDefault="000F3DF0" w:rsidP="00036A7C">
            <w:pPr>
              <w:rPr>
                <w:rFonts w:cs="Calibri"/>
                <w:sz w:val="20"/>
                <w:szCs w:val="20"/>
              </w:rPr>
            </w:pPr>
          </w:p>
          <w:p w14:paraId="747D44FD" w14:textId="77777777" w:rsidR="000F3DF0" w:rsidRPr="00F02213" w:rsidRDefault="000F3DF0" w:rsidP="00036A7C">
            <w:pPr>
              <w:rPr>
                <w:rFonts w:cs="Times"/>
                <w:sz w:val="20"/>
                <w:szCs w:val="20"/>
              </w:rPr>
            </w:pPr>
          </w:p>
          <w:p w14:paraId="04CC8A69" w14:textId="77777777" w:rsidR="000F3DF0" w:rsidRPr="00F02213" w:rsidRDefault="000F3DF0" w:rsidP="00036A7C">
            <w:pPr>
              <w:rPr>
                <w:rFonts w:cs="Calibri"/>
                <w:sz w:val="20"/>
                <w:szCs w:val="20"/>
              </w:rPr>
            </w:pPr>
          </w:p>
        </w:tc>
      </w:tr>
      <w:tr w:rsidR="000F3DF0" w:rsidRPr="00853D7A" w14:paraId="0BC797D6" w14:textId="77777777" w:rsidTr="00036A7C">
        <w:trPr>
          <w:trHeight w:val="957"/>
        </w:trPr>
        <w:tc>
          <w:tcPr>
            <w:tcW w:w="2057" w:type="dxa"/>
            <w:vMerge w:val="restart"/>
            <w:shd w:val="clear" w:color="auto" w:fill="auto"/>
          </w:tcPr>
          <w:p w14:paraId="69845166" w14:textId="77777777" w:rsidR="000F3DF0" w:rsidRPr="001B0321" w:rsidRDefault="000F3DF0" w:rsidP="00036A7C">
            <w:pPr>
              <w:rPr>
                <w:rFonts w:cs="Calibri"/>
                <w:b/>
                <w:sz w:val="20"/>
                <w:szCs w:val="20"/>
              </w:rPr>
            </w:pPr>
            <w:r w:rsidRPr="00C03431">
              <w:rPr>
                <w:sz w:val="20"/>
                <w:szCs w:val="20"/>
              </w:rPr>
              <w:t>Regulation of the right to full and effective participation</w:t>
            </w:r>
            <w:r w:rsidRPr="00C03431">
              <w:rPr>
                <w:rFonts w:cs="Times"/>
                <w:sz w:val="20"/>
                <w:szCs w:val="20"/>
              </w:rPr>
              <w:t xml:space="preserve"> both during the preparation of the GRS and </w:t>
            </w:r>
            <w:r w:rsidRPr="00C03431">
              <w:rPr>
                <w:sz w:val="20"/>
                <w:szCs w:val="20"/>
              </w:rPr>
              <w:t>throughout the implementation of the proposed REDD+ interventions</w:t>
            </w:r>
          </w:p>
        </w:tc>
        <w:tc>
          <w:tcPr>
            <w:tcW w:w="1938" w:type="dxa"/>
            <w:shd w:val="clear" w:color="auto" w:fill="auto"/>
          </w:tcPr>
          <w:p w14:paraId="143394D8" w14:textId="77777777" w:rsidR="000F3DF0" w:rsidRPr="001B0321" w:rsidRDefault="000F3DF0" w:rsidP="00036A7C">
            <w:pPr>
              <w:rPr>
                <w:rFonts w:cs="Calibri"/>
                <w:sz w:val="20"/>
                <w:szCs w:val="20"/>
                <w:lang w:val="en-US"/>
              </w:rPr>
            </w:pPr>
            <w:r w:rsidRPr="001B0321">
              <w:rPr>
                <w:rFonts w:cs="Calibri"/>
                <w:sz w:val="20"/>
                <w:szCs w:val="20"/>
                <w:lang w:val="en-US"/>
              </w:rPr>
              <w:t>Identification of relevant stakeholders</w:t>
            </w:r>
          </w:p>
        </w:tc>
        <w:tc>
          <w:tcPr>
            <w:tcW w:w="5255" w:type="dxa"/>
            <w:shd w:val="clear" w:color="auto" w:fill="auto"/>
          </w:tcPr>
          <w:p w14:paraId="19E1CD55" w14:textId="77777777" w:rsidR="000F3DF0" w:rsidRDefault="000F3DF0" w:rsidP="0039326F">
            <w:pPr>
              <w:pStyle w:val="ListParagraph"/>
              <w:numPr>
                <w:ilvl w:val="0"/>
                <w:numId w:val="28"/>
              </w:numPr>
              <w:jc w:val="left"/>
              <w:rPr>
                <w:rFonts w:cs="Calibri"/>
                <w:szCs w:val="20"/>
              </w:rPr>
            </w:pPr>
            <w:r w:rsidRPr="00284F58">
              <w:rPr>
                <w:rFonts w:cs="Calibri"/>
                <w:szCs w:val="20"/>
              </w:rPr>
              <w:t>Description of the general categories of stakeholders expected to be involved in the development of the GRS</w:t>
            </w:r>
          </w:p>
          <w:p w14:paraId="068EE576" w14:textId="77777777" w:rsidR="000F3DF0" w:rsidRPr="00284F58" w:rsidRDefault="000F3DF0" w:rsidP="0039326F">
            <w:pPr>
              <w:pStyle w:val="ListParagraph"/>
              <w:numPr>
                <w:ilvl w:val="0"/>
                <w:numId w:val="28"/>
              </w:numPr>
              <w:jc w:val="left"/>
              <w:rPr>
                <w:rFonts w:cs="Calibri"/>
                <w:szCs w:val="20"/>
              </w:rPr>
            </w:pPr>
            <w:r w:rsidRPr="00284F58">
              <w:rPr>
                <w:rFonts w:cs="Calibri"/>
                <w:szCs w:val="20"/>
              </w:rPr>
              <w:t xml:space="preserve"> </w:t>
            </w:r>
            <w:r>
              <w:rPr>
                <w:rFonts w:cs="Calibri"/>
                <w:szCs w:val="20"/>
              </w:rPr>
              <w:t xml:space="preserve">Description of stakeholders involved in the development (macro) of the specific intervention/PaM (types, mapping)(micro) </w:t>
            </w:r>
          </w:p>
        </w:tc>
        <w:tc>
          <w:tcPr>
            <w:tcW w:w="5679" w:type="dxa"/>
          </w:tcPr>
          <w:p w14:paraId="3305A075" w14:textId="77777777" w:rsidR="000F3DF0" w:rsidRPr="001B0321" w:rsidRDefault="000F3DF0" w:rsidP="00036A7C">
            <w:pPr>
              <w:rPr>
                <w:rFonts w:cs="Calibri"/>
                <w:sz w:val="20"/>
                <w:szCs w:val="20"/>
              </w:rPr>
            </w:pPr>
            <w:r w:rsidRPr="001B0321">
              <w:rPr>
                <w:rFonts w:cs="Calibri"/>
                <w:sz w:val="20"/>
                <w:szCs w:val="20"/>
              </w:rPr>
              <w:t>N/A</w:t>
            </w:r>
          </w:p>
          <w:p w14:paraId="79E97201" w14:textId="77777777" w:rsidR="000F3DF0" w:rsidRPr="001B0321" w:rsidRDefault="000F3DF0" w:rsidP="00036A7C">
            <w:pPr>
              <w:rPr>
                <w:rFonts w:cs="Calibri"/>
                <w:b/>
                <w:sz w:val="20"/>
                <w:szCs w:val="20"/>
              </w:rPr>
            </w:pPr>
          </w:p>
        </w:tc>
      </w:tr>
      <w:tr w:rsidR="000F3DF0" w:rsidRPr="00853D7A" w14:paraId="07E0C763" w14:textId="77777777" w:rsidTr="00036A7C">
        <w:trPr>
          <w:trHeight w:val="957"/>
        </w:trPr>
        <w:tc>
          <w:tcPr>
            <w:tcW w:w="2057" w:type="dxa"/>
            <w:vMerge/>
            <w:shd w:val="clear" w:color="auto" w:fill="auto"/>
          </w:tcPr>
          <w:p w14:paraId="0318AFCF" w14:textId="77777777" w:rsidR="000F3DF0" w:rsidRPr="00C03431" w:rsidRDefault="000F3DF0" w:rsidP="00036A7C">
            <w:pPr>
              <w:rPr>
                <w:sz w:val="20"/>
                <w:szCs w:val="20"/>
              </w:rPr>
            </w:pPr>
          </w:p>
        </w:tc>
        <w:tc>
          <w:tcPr>
            <w:tcW w:w="1938" w:type="dxa"/>
            <w:shd w:val="clear" w:color="auto" w:fill="auto"/>
          </w:tcPr>
          <w:p w14:paraId="651D3B1D" w14:textId="77777777" w:rsidR="000F3DF0" w:rsidRPr="001B0321" w:rsidRDefault="000F3DF0" w:rsidP="00036A7C">
            <w:pPr>
              <w:rPr>
                <w:rFonts w:cs="Calibri"/>
                <w:sz w:val="20"/>
                <w:szCs w:val="20"/>
                <w:lang w:val="en-US"/>
              </w:rPr>
            </w:pPr>
            <w:r>
              <w:rPr>
                <w:rFonts w:cs="Calibri"/>
                <w:sz w:val="20"/>
                <w:szCs w:val="20"/>
                <w:lang w:val="en-US"/>
              </w:rPr>
              <w:t>Mechanisms/process for ensuring participation</w:t>
            </w:r>
          </w:p>
        </w:tc>
        <w:tc>
          <w:tcPr>
            <w:tcW w:w="5255" w:type="dxa"/>
            <w:shd w:val="clear" w:color="auto" w:fill="auto"/>
          </w:tcPr>
          <w:p w14:paraId="2D71BA1B" w14:textId="77777777" w:rsidR="000F3DF0" w:rsidRPr="007E1FB4" w:rsidRDefault="000F3DF0" w:rsidP="0039326F">
            <w:pPr>
              <w:pStyle w:val="ListParagraph"/>
              <w:numPr>
                <w:ilvl w:val="0"/>
                <w:numId w:val="37"/>
              </w:numPr>
              <w:jc w:val="left"/>
              <w:rPr>
                <w:rFonts w:cs="Calibri"/>
                <w:i/>
                <w:szCs w:val="20"/>
              </w:rPr>
            </w:pPr>
            <w:r>
              <w:rPr>
                <w:rFonts w:cs="Calibri"/>
                <w:szCs w:val="20"/>
              </w:rPr>
              <w:t>Description of how public participation in policy-making or project development is regulated in Ghana (Laws, responsible institution</w:t>
            </w:r>
          </w:p>
          <w:p w14:paraId="7EFD5DDE" w14:textId="77777777" w:rsidR="000F3DF0" w:rsidRDefault="000F3DF0" w:rsidP="0039326F">
            <w:pPr>
              <w:pStyle w:val="ListParagraph"/>
              <w:numPr>
                <w:ilvl w:val="0"/>
                <w:numId w:val="37"/>
              </w:numPr>
              <w:jc w:val="left"/>
              <w:rPr>
                <w:rFonts w:cs="Calibri"/>
                <w:szCs w:val="20"/>
              </w:rPr>
            </w:pPr>
            <w:r w:rsidRPr="00AE60AA">
              <w:rPr>
                <w:rFonts w:cs="Calibri"/>
                <w:szCs w:val="20"/>
              </w:rPr>
              <w:t xml:space="preserve">Description of </w:t>
            </w:r>
            <w:r>
              <w:rPr>
                <w:rFonts w:cs="Calibri"/>
                <w:szCs w:val="20"/>
              </w:rPr>
              <w:t xml:space="preserve">any additional REDD+ specific </w:t>
            </w:r>
            <w:r w:rsidRPr="00AE60AA">
              <w:rPr>
                <w:rFonts w:cs="Calibri"/>
                <w:szCs w:val="20"/>
              </w:rPr>
              <w:t xml:space="preserve"> participatory mechanisms/procedures for the development of REDD+ (GRS, R-PP, SESA, ESMF, ERPD</w:t>
            </w:r>
            <w:r>
              <w:rPr>
                <w:rFonts w:cs="Calibri"/>
                <w:szCs w:val="20"/>
              </w:rPr>
              <w:t>) (macro)</w:t>
            </w:r>
          </w:p>
          <w:p w14:paraId="59071977" w14:textId="77777777" w:rsidR="000F3DF0" w:rsidRPr="00AE60AA" w:rsidRDefault="000F3DF0" w:rsidP="0039326F">
            <w:pPr>
              <w:pStyle w:val="ListParagraph"/>
              <w:numPr>
                <w:ilvl w:val="0"/>
                <w:numId w:val="37"/>
              </w:numPr>
              <w:jc w:val="left"/>
              <w:rPr>
                <w:rFonts w:cs="Calibri"/>
                <w:szCs w:val="20"/>
              </w:rPr>
            </w:pPr>
            <w:r w:rsidRPr="00C03431">
              <w:rPr>
                <w:rFonts w:cs="Calibri"/>
                <w:szCs w:val="20"/>
              </w:rPr>
              <w:t xml:space="preserve">Description of </w:t>
            </w:r>
            <w:r>
              <w:rPr>
                <w:rFonts w:cs="Calibri"/>
                <w:szCs w:val="20"/>
              </w:rPr>
              <w:t xml:space="preserve">any additional REDD+ specific </w:t>
            </w:r>
            <w:r w:rsidRPr="00C03431">
              <w:rPr>
                <w:rFonts w:cs="Calibri"/>
                <w:szCs w:val="20"/>
              </w:rPr>
              <w:t xml:space="preserve">participatory mechanisms/procedures for the </w:t>
            </w:r>
            <w:r w:rsidRPr="00C03431">
              <w:rPr>
                <w:rFonts w:cs="Calibri"/>
                <w:szCs w:val="20"/>
              </w:rPr>
              <w:lastRenderedPageBreak/>
              <w:t xml:space="preserve">development of </w:t>
            </w:r>
            <w:r>
              <w:rPr>
                <w:rFonts w:cs="Calibri"/>
                <w:szCs w:val="20"/>
              </w:rPr>
              <w:t xml:space="preserve">specific </w:t>
            </w:r>
            <w:r w:rsidRPr="00C03431">
              <w:rPr>
                <w:rFonts w:cs="Calibri"/>
                <w:szCs w:val="20"/>
              </w:rPr>
              <w:t>REDD+</w:t>
            </w:r>
            <w:r>
              <w:rPr>
                <w:rFonts w:cs="Calibri"/>
                <w:szCs w:val="20"/>
              </w:rPr>
              <w:t xml:space="preserve"> interventions/PaMs (micro)</w:t>
            </w:r>
          </w:p>
          <w:p w14:paraId="0068C1FA" w14:textId="77777777" w:rsidR="000F3DF0" w:rsidRPr="00AE60AA" w:rsidRDefault="000F3DF0" w:rsidP="00036A7C">
            <w:pPr>
              <w:rPr>
                <w:rFonts w:cs="Calibri"/>
                <w:sz w:val="20"/>
                <w:szCs w:val="20"/>
              </w:rPr>
            </w:pPr>
          </w:p>
          <w:p w14:paraId="4DE63BD5" w14:textId="77777777" w:rsidR="000F3DF0" w:rsidRPr="007E1FB4" w:rsidRDefault="000F3DF0" w:rsidP="00036A7C">
            <w:pPr>
              <w:rPr>
                <w:rFonts w:cs="Calibri"/>
                <w:i/>
                <w:sz w:val="20"/>
                <w:szCs w:val="20"/>
                <w:lang w:val="en-US"/>
              </w:rPr>
            </w:pPr>
          </w:p>
        </w:tc>
        <w:tc>
          <w:tcPr>
            <w:tcW w:w="5679" w:type="dxa"/>
          </w:tcPr>
          <w:p w14:paraId="14923413" w14:textId="77777777" w:rsidR="000F3DF0" w:rsidRPr="00AE60AA" w:rsidRDefault="000F3DF0" w:rsidP="00036A7C">
            <w:pPr>
              <w:rPr>
                <w:rFonts w:cs="Calibri"/>
                <w:b/>
                <w:sz w:val="20"/>
                <w:szCs w:val="20"/>
              </w:rPr>
            </w:pPr>
            <w:r w:rsidRPr="00AE60AA">
              <w:rPr>
                <w:rFonts w:cs="Calibri"/>
                <w:b/>
                <w:sz w:val="20"/>
                <w:szCs w:val="20"/>
              </w:rPr>
              <w:lastRenderedPageBreak/>
              <w:t>Qualitative</w:t>
            </w:r>
          </w:p>
          <w:p w14:paraId="47E468A9" w14:textId="77777777" w:rsidR="000F3DF0" w:rsidRDefault="000F3DF0" w:rsidP="0039326F">
            <w:pPr>
              <w:pStyle w:val="ListParagraph"/>
              <w:numPr>
                <w:ilvl w:val="0"/>
                <w:numId w:val="38"/>
              </w:numPr>
              <w:rPr>
                <w:rFonts w:cstheme="minorHAnsi"/>
                <w:color w:val="000000" w:themeColor="text1"/>
                <w:szCs w:val="20"/>
              </w:rPr>
            </w:pPr>
            <w:r w:rsidRPr="008A6FD8">
              <w:rPr>
                <w:rFonts w:cstheme="minorHAnsi"/>
                <w:szCs w:val="20"/>
              </w:rPr>
              <w:t>Description of the general categories of stakeholders involved in the development</w:t>
            </w:r>
            <w:r>
              <w:rPr>
                <w:rFonts w:cstheme="minorHAnsi"/>
                <w:szCs w:val="20"/>
              </w:rPr>
              <w:t xml:space="preserve"> and implementation</w:t>
            </w:r>
            <w:r w:rsidRPr="008A6FD8">
              <w:rPr>
                <w:rFonts w:cstheme="minorHAnsi"/>
                <w:szCs w:val="20"/>
              </w:rPr>
              <w:t xml:space="preserve"> of the </w:t>
            </w:r>
            <w:r w:rsidRPr="00AE60AA">
              <w:rPr>
                <w:rFonts w:cs="Calibri"/>
                <w:szCs w:val="20"/>
              </w:rPr>
              <w:t>GRS, R-PP, SESA, ESMF, ERPD</w:t>
            </w:r>
            <w:r w:rsidRPr="006B76A5">
              <w:rPr>
                <w:rFonts w:cstheme="minorHAnsi"/>
                <w:color w:val="000000" w:themeColor="text1"/>
                <w:szCs w:val="20"/>
              </w:rPr>
              <w:t xml:space="preserve"> (documentation and mapping of stakeholders) and how they were involved (information shared, feedback gathered, in what format was it gathered)</w:t>
            </w:r>
            <w:r>
              <w:rPr>
                <w:rFonts w:cstheme="minorHAnsi"/>
                <w:color w:val="000000" w:themeColor="text1"/>
                <w:szCs w:val="20"/>
              </w:rPr>
              <w:t xml:space="preserve"> (macro)</w:t>
            </w:r>
          </w:p>
          <w:p w14:paraId="208FF83C" w14:textId="77777777" w:rsidR="000F3DF0" w:rsidRPr="00AE60AA" w:rsidRDefault="000F3DF0" w:rsidP="0039326F">
            <w:pPr>
              <w:pStyle w:val="ListParagraph"/>
              <w:numPr>
                <w:ilvl w:val="0"/>
                <w:numId w:val="38"/>
              </w:numPr>
              <w:rPr>
                <w:rFonts w:cstheme="minorHAnsi"/>
                <w:color w:val="000000" w:themeColor="text1"/>
                <w:szCs w:val="20"/>
              </w:rPr>
            </w:pPr>
            <w:r w:rsidRPr="008A6FD8">
              <w:rPr>
                <w:rFonts w:cstheme="minorHAnsi"/>
                <w:szCs w:val="20"/>
              </w:rPr>
              <w:t>Description of the general categories of stakeholders involved in the development</w:t>
            </w:r>
            <w:r>
              <w:rPr>
                <w:rFonts w:cstheme="minorHAnsi"/>
                <w:szCs w:val="20"/>
              </w:rPr>
              <w:t xml:space="preserve"> and implementation</w:t>
            </w:r>
            <w:r w:rsidRPr="008A6FD8">
              <w:rPr>
                <w:rFonts w:cstheme="minorHAnsi"/>
                <w:szCs w:val="20"/>
              </w:rPr>
              <w:t xml:space="preserve"> of </w:t>
            </w:r>
            <w:r>
              <w:rPr>
                <w:rFonts w:cstheme="minorHAnsi"/>
                <w:szCs w:val="20"/>
              </w:rPr>
              <w:t>specific REDD+ intervention/PaM</w:t>
            </w:r>
            <w:r w:rsidRPr="006B76A5">
              <w:rPr>
                <w:rFonts w:cstheme="minorHAnsi"/>
                <w:color w:val="000000" w:themeColor="text1"/>
                <w:szCs w:val="20"/>
              </w:rPr>
              <w:t xml:space="preserve"> (documentation and </w:t>
            </w:r>
            <w:r w:rsidRPr="006B76A5">
              <w:rPr>
                <w:rFonts w:cstheme="minorHAnsi"/>
                <w:color w:val="000000" w:themeColor="text1"/>
                <w:szCs w:val="20"/>
              </w:rPr>
              <w:lastRenderedPageBreak/>
              <w:t>mapping of stakeholders) and how they were involved (information shared, feedback gathered, in what format was it gathered)</w:t>
            </w:r>
            <w:r>
              <w:rPr>
                <w:rFonts w:cstheme="minorHAnsi"/>
                <w:color w:val="000000" w:themeColor="text1"/>
                <w:szCs w:val="20"/>
              </w:rPr>
              <w:t xml:space="preserve"> (micro)</w:t>
            </w:r>
          </w:p>
          <w:p w14:paraId="4E32CB4C" w14:textId="77777777" w:rsidR="000F3DF0" w:rsidRPr="006B76A5" w:rsidRDefault="000F3DF0" w:rsidP="0039326F">
            <w:pPr>
              <w:pStyle w:val="ListParagraph"/>
              <w:numPr>
                <w:ilvl w:val="0"/>
                <w:numId w:val="38"/>
              </w:numPr>
              <w:rPr>
                <w:rFonts w:cstheme="minorHAnsi"/>
                <w:color w:val="000000" w:themeColor="text1"/>
                <w:szCs w:val="20"/>
              </w:rPr>
            </w:pPr>
            <w:r w:rsidRPr="006B76A5">
              <w:rPr>
                <w:rFonts w:ascii="Calibri" w:hAnsi="Calibri" w:cstheme="minorHAnsi"/>
                <w:color w:val="000000" w:themeColor="text1"/>
                <w:szCs w:val="20"/>
                <w:lang w:val="vi-VN"/>
              </w:rPr>
              <w:t>Description of the outcomes of the participation processes (for example how the implementation changed/was influenced by considering the views of the relevant stakeholders</w:t>
            </w:r>
            <w:r>
              <w:rPr>
                <w:rFonts w:ascii="Calibri" w:hAnsi="Calibri" w:cstheme="minorHAnsi"/>
                <w:color w:val="000000" w:themeColor="text1"/>
                <w:szCs w:val="20"/>
                <w:lang w:val="vi-VN"/>
              </w:rPr>
              <w:t>, e.g. including cancellation of intervention where significant opposition</w:t>
            </w:r>
            <w:r w:rsidRPr="006B76A5">
              <w:rPr>
                <w:rFonts w:ascii="Calibri" w:hAnsi="Calibri" w:cstheme="minorHAnsi"/>
                <w:color w:val="000000" w:themeColor="text1"/>
                <w:szCs w:val="20"/>
                <w:lang w:val="vi-VN"/>
              </w:rPr>
              <w:t>)</w:t>
            </w:r>
            <w:r>
              <w:rPr>
                <w:rFonts w:ascii="Calibri" w:hAnsi="Calibri" w:cstheme="minorHAnsi"/>
                <w:color w:val="000000" w:themeColor="text1"/>
                <w:szCs w:val="20"/>
                <w:lang w:val="vi-VN"/>
              </w:rPr>
              <w:t xml:space="preserve"> (macro and micro)</w:t>
            </w:r>
          </w:p>
          <w:p w14:paraId="0DADF09D" w14:textId="77777777" w:rsidR="000F3DF0" w:rsidRPr="00D30E4F" w:rsidRDefault="000F3DF0" w:rsidP="0039326F">
            <w:pPr>
              <w:pStyle w:val="ListParagraph"/>
              <w:numPr>
                <w:ilvl w:val="0"/>
                <w:numId w:val="38"/>
              </w:numPr>
              <w:rPr>
                <w:rFonts w:cstheme="minorHAnsi"/>
                <w:color w:val="000000" w:themeColor="text1"/>
                <w:szCs w:val="20"/>
              </w:rPr>
            </w:pPr>
            <w:r w:rsidRPr="00D30E4F">
              <w:rPr>
                <w:rFonts w:cstheme="minorHAnsi"/>
                <w:color w:val="000000" w:themeColor="text1"/>
                <w:szCs w:val="20"/>
              </w:rPr>
              <w:t>Strategy for designing, implementing and monitoring of participation activities</w:t>
            </w:r>
            <w:r w:rsidRPr="00D30E4F">
              <w:rPr>
                <w:rFonts w:cs="Calibri"/>
                <w:szCs w:val="20"/>
                <w:lang w:val="vi-VN"/>
              </w:rPr>
              <w:t xml:space="preserve"> (culturally appropriate information produced, capacity building, specific meetings organised for vulnerable groups)</w:t>
            </w:r>
          </w:p>
          <w:p w14:paraId="64F46DE1" w14:textId="77777777" w:rsidR="000F3DF0" w:rsidRDefault="000F3DF0" w:rsidP="0039326F">
            <w:pPr>
              <w:pStyle w:val="ListParagraph"/>
              <w:numPr>
                <w:ilvl w:val="0"/>
                <w:numId w:val="38"/>
              </w:numPr>
              <w:rPr>
                <w:rFonts w:cstheme="minorHAnsi"/>
                <w:szCs w:val="20"/>
                <w:lang w:val="vi-VN"/>
              </w:rPr>
            </w:pPr>
            <w:r>
              <w:rPr>
                <w:rFonts w:cstheme="minorHAnsi"/>
                <w:szCs w:val="20"/>
              </w:rPr>
              <w:t>If applicable, d</w:t>
            </w:r>
            <w:r>
              <w:rPr>
                <w:rFonts w:cstheme="minorHAnsi"/>
                <w:szCs w:val="20"/>
                <w:lang w:val="vi-VN"/>
              </w:rPr>
              <w:t>escription of outcomes of these processes (FPIC granted/witheld) and whether they affected the implementation of REDD+ (interventions cancelled where FPIC witheld)</w:t>
            </w:r>
          </w:p>
          <w:p w14:paraId="10284F72" w14:textId="77777777" w:rsidR="000F3DF0" w:rsidRDefault="000F3DF0" w:rsidP="00036A7C">
            <w:pPr>
              <w:rPr>
                <w:rFonts w:cstheme="minorHAnsi"/>
                <w:szCs w:val="20"/>
                <w:lang w:val="vi-VN"/>
              </w:rPr>
            </w:pPr>
          </w:p>
          <w:p w14:paraId="757C81CE" w14:textId="77777777" w:rsidR="000F3DF0" w:rsidRPr="00EF5DE8" w:rsidRDefault="000F3DF0" w:rsidP="00036A7C">
            <w:pPr>
              <w:rPr>
                <w:rFonts w:cstheme="minorHAnsi"/>
                <w:b/>
                <w:color w:val="000000" w:themeColor="text1"/>
                <w:sz w:val="20"/>
                <w:szCs w:val="20"/>
              </w:rPr>
            </w:pPr>
            <w:r w:rsidRPr="00EF5DE8">
              <w:rPr>
                <w:rFonts w:cstheme="minorHAnsi"/>
                <w:b/>
                <w:color w:val="000000" w:themeColor="text1"/>
                <w:sz w:val="20"/>
                <w:szCs w:val="20"/>
              </w:rPr>
              <w:t>Quantitative</w:t>
            </w:r>
          </w:p>
          <w:p w14:paraId="448CC149" w14:textId="77777777" w:rsidR="000F3DF0" w:rsidRDefault="000F3DF0" w:rsidP="0039326F">
            <w:pPr>
              <w:pStyle w:val="ListParagraph"/>
              <w:numPr>
                <w:ilvl w:val="0"/>
                <w:numId w:val="39"/>
              </w:numPr>
              <w:jc w:val="left"/>
              <w:rPr>
                <w:rFonts w:cstheme="minorHAnsi"/>
                <w:color w:val="000000" w:themeColor="text1"/>
                <w:szCs w:val="20"/>
              </w:rPr>
            </w:pPr>
            <w:r>
              <w:rPr>
                <w:rFonts w:cstheme="minorHAnsi"/>
                <w:color w:val="000000" w:themeColor="text1"/>
                <w:szCs w:val="20"/>
              </w:rPr>
              <w:t>For specific REDD+ intervention/PaM (micro)</w:t>
            </w:r>
          </w:p>
          <w:p w14:paraId="66DFD453" w14:textId="77777777" w:rsidR="000F3DF0" w:rsidRDefault="000F3DF0" w:rsidP="0039326F">
            <w:pPr>
              <w:pStyle w:val="ListParagraph"/>
              <w:numPr>
                <w:ilvl w:val="1"/>
                <w:numId w:val="39"/>
              </w:numPr>
              <w:ind w:left="721" w:hanging="270"/>
              <w:jc w:val="left"/>
              <w:rPr>
                <w:rFonts w:cstheme="minorHAnsi"/>
                <w:color w:val="000000" w:themeColor="text1"/>
                <w:szCs w:val="20"/>
              </w:rPr>
            </w:pPr>
            <w:r>
              <w:rPr>
                <w:rFonts w:cstheme="minorHAnsi"/>
                <w:color w:val="000000" w:themeColor="text1"/>
                <w:szCs w:val="20"/>
              </w:rPr>
              <w:t>: n</w:t>
            </w:r>
            <w:r w:rsidRPr="006B76A5">
              <w:rPr>
                <w:rFonts w:cstheme="minorHAnsi"/>
                <w:color w:val="000000" w:themeColor="text1"/>
                <w:szCs w:val="20"/>
              </w:rPr>
              <w:t>umber of meetings held, number of participants (organised according to categories of participant)</w:t>
            </w:r>
          </w:p>
          <w:p w14:paraId="33E166F2" w14:textId="77777777" w:rsidR="000F3DF0" w:rsidRDefault="000F3DF0" w:rsidP="0039326F">
            <w:pPr>
              <w:pStyle w:val="ListParagraph"/>
              <w:numPr>
                <w:ilvl w:val="1"/>
                <w:numId w:val="39"/>
              </w:numPr>
              <w:ind w:left="721" w:hanging="270"/>
              <w:jc w:val="left"/>
              <w:rPr>
                <w:rFonts w:cstheme="minorHAnsi"/>
                <w:color w:val="000000" w:themeColor="text1"/>
                <w:szCs w:val="20"/>
              </w:rPr>
            </w:pPr>
            <w:r w:rsidRPr="00EF5DE8">
              <w:rPr>
                <w:rFonts w:cstheme="minorHAnsi"/>
                <w:color w:val="000000" w:themeColor="text1"/>
                <w:szCs w:val="20"/>
              </w:rPr>
              <w:t>Number of views gathered (feedback forms, interviews, votes, minutes recorded and disseminated)</w:t>
            </w:r>
          </w:p>
          <w:p w14:paraId="69370FE1" w14:textId="77777777" w:rsidR="000F3DF0" w:rsidRPr="00EF5DE8" w:rsidRDefault="000F3DF0" w:rsidP="0039326F">
            <w:pPr>
              <w:pStyle w:val="ListParagraph"/>
              <w:numPr>
                <w:ilvl w:val="1"/>
                <w:numId w:val="39"/>
              </w:numPr>
              <w:ind w:left="721" w:hanging="270"/>
              <w:jc w:val="left"/>
              <w:rPr>
                <w:rFonts w:cstheme="minorHAnsi"/>
                <w:color w:val="000000" w:themeColor="text1"/>
                <w:szCs w:val="20"/>
              </w:rPr>
            </w:pPr>
            <w:r w:rsidRPr="00EF5DE8">
              <w:rPr>
                <w:rFonts w:cstheme="minorHAnsi"/>
                <w:szCs w:val="20"/>
              </w:rPr>
              <w:t xml:space="preserve">Number of representatives/members from </w:t>
            </w:r>
            <w:r w:rsidRPr="00EF5DE8">
              <w:rPr>
                <w:rFonts w:cstheme="minorHAnsi"/>
                <w:color w:val="000000" w:themeColor="text1"/>
                <w:szCs w:val="20"/>
                <w:lang w:val="vi-VN"/>
              </w:rPr>
              <w:t>community forests/associations</w:t>
            </w:r>
            <w:r w:rsidRPr="00EF5DE8">
              <w:rPr>
                <w:rFonts w:cstheme="minorHAnsi"/>
                <w:color w:val="000000" w:themeColor="text1"/>
                <w:szCs w:val="20"/>
              </w:rPr>
              <w:t xml:space="preserve">, </w:t>
            </w:r>
            <w:r w:rsidRPr="00EF5DE8">
              <w:rPr>
                <w:rFonts w:cstheme="minorHAnsi"/>
                <w:szCs w:val="20"/>
              </w:rPr>
              <w:t xml:space="preserve">local communities and other vulnerable groups </w:t>
            </w:r>
          </w:p>
          <w:p w14:paraId="00690CE6" w14:textId="77777777" w:rsidR="000F3DF0" w:rsidRPr="00EF5DE8" w:rsidRDefault="000F3DF0" w:rsidP="0039326F">
            <w:pPr>
              <w:pStyle w:val="ListParagraph"/>
              <w:numPr>
                <w:ilvl w:val="1"/>
                <w:numId w:val="39"/>
              </w:numPr>
              <w:ind w:left="721" w:hanging="270"/>
              <w:jc w:val="left"/>
              <w:rPr>
                <w:rFonts w:cstheme="minorHAnsi"/>
                <w:color w:val="000000" w:themeColor="text1"/>
                <w:szCs w:val="20"/>
              </w:rPr>
            </w:pPr>
            <w:r>
              <w:rPr>
                <w:rFonts w:cstheme="minorHAnsi"/>
                <w:szCs w:val="20"/>
              </w:rPr>
              <w:t xml:space="preserve">Number of times consent withheld </w:t>
            </w:r>
          </w:p>
          <w:p w14:paraId="59208515" w14:textId="77777777" w:rsidR="000F3DF0" w:rsidRPr="00EF5DE8" w:rsidRDefault="000F3DF0" w:rsidP="00036A7C">
            <w:pPr>
              <w:rPr>
                <w:rFonts w:cstheme="minorHAnsi"/>
                <w:szCs w:val="20"/>
                <w:lang w:val="vi-VN"/>
              </w:rPr>
            </w:pPr>
          </w:p>
          <w:p w14:paraId="4F9E52F1" w14:textId="77777777" w:rsidR="000F3DF0" w:rsidRPr="00AE60AA" w:rsidRDefault="000F3DF0" w:rsidP="00036A7C">
            <w:pPr>
              <w:pStyle w:val="ListParagraph"/>
              <w:ind w:left="360"/>
              <w:rPr>
                <w:rFonts w:cs="Calibri"/>
                <w:szCs w:val="20"/>
              </w:rPr>
            </w:pPr>
          </w:p>
        </w:tc>
      </w:tr>
    </w:tbl>
    <w:p w14:paraId="31EC32C7" w14:textId="77777777" w:rsidR="000F3DF0" w:rsidRPr="00AE60AA" w:rsidRDefault="000F3DF0" w:rsidP="000F3DF0">
      <w:pPr>
        <w:pStyle w:val="Heading1"/>
        <w:rPr>
          <w:vertAlign w:val="superscript"/>
        </w:rPr>
      </w:pPr>
      <w:r w:rsidRPr="00AE60AA">
        <w:lastRenderedPageBreak/>
        <w:t>Safeguard (e) That actions are consistent with the conservation of natural forests and biological diversity, ensuring that the actions referred to in paragraph 70 of this decision are not used for the conversion of natural forests, but are instead used to incentivize the protection and conservation of natural forests and their ecosystem services, and to enhance other social and environmental benefits;</w:t>
      </w:r>
      <w:r w:rsidRPr="00AE60AA">
        <w:rPr>
          <w:vertAlign w:val="superscript"/>
        </w:rPr>
        <w:footnoteReference w:id="115"/>
      </w:r>
    </w:p>
    <w:p w14:paraId="4D64BADC" w14:textId="77777777" w:rsidR="000F3DF0" w:rsidRPr="00AE60AA" w:rsidRDefault="000F3DF0" w:rsidP="000F3DF0">
      <w:pPr>
        <w:pStyle w:val="Heading1"/>
        <w:rPr>
          <w:rFonts w:ascii="Calibri" w:hAnsi="Calibri"/>
          <w:b/>
          <w:sz w:val="22"/>
          <w:szCs w:val="22"/>
        </w:rPr>
      </w:pPr>
    </w:p>
    <w:tbl>
      <w:tblPr>
        <w:tblW w:w="1447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5608"/>
        <w:gridCol w:w="6029"/>
      </w:tblGrid>
      <w:tr w:rsidR="000F3DF0" w:rsidRPr="00853D7A" w14:paraId="7A5C9423" w14:textId="77777777" w:rsidTr="00036A7C">
        <w:trPr>
          <w:trHeight w:val="1564"/>
        </w:trPr>
        <w:tc>
          <w:tcPr>
            <w:tcW w:w="2841" w:type="dxa"/>
            <w:shd w:val="clear" w:color="auto" w:fill="auto"/>
          </w:tcPr>
          <w:p w14:paraId="2C615719" w14:textId="77777777" w:rsidR="000F3DF0" w:rsidRPr="00AE60AA" w:rsidRDefault="000F3DF0" w:rsidP="00036A7C">
            <w:pPr>
              <w:rPr>
                <w:rFonts w:cs="Calibri"/>
                <w:b/>
                <w:sz w:val="20"/>
                <w:szCs w:val="20"/>
              </w:rPr>
            </w:pPr>
            <w:r w:rsidRPr="00AE60AA">
              <w:rPr>
                <w:rFonts w:cs="Calibri"/>
                <w:b/>
                <w:sz w:val="20"/>
                <w:szCs w:val="20"/>
              </w:rPr>
              <w:t xml:space="preserve">Safeguard element  </w:t>
            </w:r>
          </w:p>
        </w:tc>
        <w:tc>
          <w:tcPr>
            <w:tcW w:w="5608" w:type="dxa"/>
          </w:tcPr>
          <w:p w14:paraId="2D57375F" w14:textId="77777777" w:rsidR="000F3DF0" w:rsidRPr="00AE60AA" w:rsidRDefault="000F3DF0" w:rsidP="00036A7C">
            <w:pPr>
              <w:rPr>
                <w:rFonts w:cs="Calibri"/>
                <w:b/>
                <w:sz w:val="20"/>
                <w:szCs w:val="20"/>
              </w:rPr>
            </w:pPr>
            <w:r w:rsidRPr="00AE60AA">
              <w:rPr>
                <w:rFonts w:cs="Calibri"/>
                <w:b/>
                <w:sz w:val="20"/>
                <w:szCs w:val="20"/>
              </w:rPr>
              <w:t>Types of information that could be provided to demonstrate how the safeguard is being addressed</w:t>
            </w:r>
          </w:p>
        </w:tc>
        <w:tc>
          <w:tcPr>
            <w:tcW w:w="6029" w:type="dxa"/>
          </w:tcPr>
          <w:p w14:paraId="05F3F076" w14:textId="77777777" w:rsidR="000F3DF0" w:rsidRPr="00AE60AA" w:rsidRDefault="000F3DF0" w:rsidP="00036A7C">
            <w:pPr>
              <w:rPr>
                <w:rFonts w:cs="Calibri"/>
                <w:b/>
                <w:sz w:val="20"/>
                <w:szCs w:val="20"/>
              </w:rPr>
            </w:pPr>
            <w:r w:rsidRPr="00AE60AA">
              <w:rPr>
                <w:rFonts w:cs="Calibri"/>
                <w:b/>
                <w:sz w:val="20"/>
                <w:szCs w:val="20"/>
              </w:rPr>
              <w:t>Types of information to be provided to demonstrate how the safeguard has been respected</w:t>
            </w:r>
          </w:p>
        </w:tc>
      </w:tr>
      <w:tr w:rsidR="000F3DF0" w:rsidRPr="00853D7A" w14:paraId="2BB1C605" w14:textId="77777777" w:rsidTr="00036A7C">
        <w:trPr>
          <w:trHeight w:val="1537"/>
        </w:trPr>
        <w:tc>
          <w:tcPr>
            <w:tcW w:w="2841" w:type="dxa"/>
            <w:shd w:val="clear" w:color="auto" w:fill="auto"/>
          </w:tcPr>
          <w:p w14:paraId="4CAC0889" w14:textId="77777777" w:rsidR="000F3DF0" w:rsidRPr="00EF5DE8" w:rsidRDefault="000F3DF0" w:rsidP="00036A7C">
            <w:pPr>
              <w:rPr>
                <w:rFonts w:cs="Calibri"/>
                <w:b/>
                <w:sz w:val="20"/>
                <w:szCs w:val="20"/>
              </w:rPr>
            </w:pPr>
            <w:r w:rsidRPr="00EF5DE8">
              <w:rPr>
                <w:sz w:val="20"/>
                <w:szCs w:val="20"/>
              </w:rPr>
              <w:t>REDD+ interventions/PAMs will not result in the conversion of natural forests</w:t>
            </w:r>
          </w:p>
        </w:tc>
        <w:tc>
          <w:tcPr>
            <w:tcW w:w="5608" w:type="dxa"/>
          </w:tcPr>
          <w:p w14:paraId="7ED0597D" w14:textId="77777777" w:rsidR="000F3DF0" w:rsidRDefault="000F3DF0" w:rsidP="0039326F">
            <w:pPr>
              <w:pStyle w:val="ListParagraph"/>
              <w:numPr>
                <w:ilvl w:val="0"/>
                <w:numId w:val="39"/>
              </w:numPr>
              <w:jc w:val="left"/>
              <w:rPr>
                <w:rFonts w:cs="Calibri"/>
                <w:szCs w:val="20"/>
              </w:rPr>
            </w:pPr>
            <w:r>
              <w:rPr>
                <w:rFonts w:cs="Calibri"/>
                <w:szCs w:val="20"/>
              </w:rPr>
              <w:t>Description of how conversion of natural forests is dealt with in Ghana (definition of natural forests, laws, oversight institutions)</w:t>
            </w:r>
          </w:p>
          <w:p w14:paraId="1A061BEE" w14:textId="77777777" w:rsidR="000F3DF0" w:rsidRPr="00EF5DE8" w:rsidRDefault="000F3DF0" w:rsidP="0039326F">
            <w:pPr>
              <w:pStyle w:val="ListParagraph"/>
              <w:numPr>
                <w:ilvl w:val="0"/>
                <w:numId w:val="39"/>
              </w:numPr>
              <w:jc w:val="left"/>
              <w:rPr>
                <w:rFonts w:cs="Calibri"/>
                <w:szCs w:val="20"/>
              </w:rPr>
            </w:pPr>
            <w:r w:rsidRPr="00EF5DE8">
              <w:rPr>
                <w:rFonts w:cs="Calibri"/>
                <w:szCs w:val="20"/>
              </w:rPr>
              <w:t xml:space="preserve">Description of </w:t>
            </w:r>
            <w:r>
              <w:rPr>
                <w:rFonts w:cs="Calibri"/>
                <w:szCs w:val="20"/>
              </w:rPr>
              <w:t>additional REDD+ specific measures/procedures to ensure that</w:t>
            </w:r>
            <w:r w:rsidRPr="00EF5DE8">
              <w:rPr>
                <w:rFonts w:cs="Calibri"/>
                <w:szCs w:val="20"/>
              </w:rPr>
              <w:t xml:space="preserve"> the GRS </w:t>
            </w:r>
            <w:r>
              <w:rPr>
                <w:rFonts w:cs="Calibri"/>
                <w:szCs w:val="20"/>
              </w:rPr>
              <w:t xml:space="preserve">implementation </w:t>
            </w:r>
            <w:r w:rsidRPr="00EF5DE8">
              <w:rPr>
                <w:rFonts w:cs="Calibri"/>
                <w:szCs w:val="20"/>
              </w:rPr>
              <w:t>will not result in the conversion of natural forests</w:t>
            </w:r>
            <w:r>
              <w:rPr>
                <w:rFonts w:cs="Calibri"/>
                <w:szCs w:val="20"/>
              </w:rPr>
              <w:t xml:space="preserve"> (macro)</w:t>
            </w:r>
          </w:p>
          <w:p w14:paraId="776A3553" w14:textId="77777777" w:rsidR="000F3DF0" w:rsidRDefault="000F3DF0" w:rsidP="0039326F">
            <w:pPr>
              <w:pStyle w:val="ListParagraph"/>
              <w:numPr>
                <w:ilvl w:val="0"/>
                <w:numId w:val="39"/>
              </w:numPr>
              <w:jc w:val="left"/>
              <w:rPr>
                <w:rFonts w:cs="Calibri"/>
                <w:szCs w:val="20"/>
              </w:rPr>
            </w:pPr>
            <w:r w:rsidRPr="00EF5DE8">
              <w:rPr>
                <w:rFonts w:cs="Calibri"/>
                <w:szCs w:val="20"/>
              </w:rPr>
              <w:t xml:space="preserve">Description of </w:t>
            </w:r>
            <w:r>
              <w:rPr>
                <w:rFonts w:cs="Calibri"/>
                <w:szCs w:val="20"/>
              </w:rPr>
              <w:t>additional measures/procedures to ensure that</w:t>
            </w:r>
            <w:r w:rsidRPr="00EF5DE8">
              <w:rPr>
                <w:rFonts w:cs="Calibri"/>
                <w:szCs w:val="20"/>
              </w:rPr>
              <w:t xml:space="preserve"> </w:t>
            </w:r>
            <w:r>
              <w:rPr>
                <w:rFonts w:cs="Calibri"/>
                <w:szCs w:val="20"/>
              </w:rPr>
              <w:t>the</w:t>
            </w:r>
            <w:r w:rsidRPr="00EF5DE8">
              <w:rPr>
                <w:rFonts w:cs="Calibri"/>
                <w:szCs w:val="20"/>
              </w:rPr>
              <w:t xml:space="preserve"> </w:t>
            </w:r>
            <w:r>
              <w:rPr>
                <w:rFonts w:cs="Calibri"/>
                <w:szCs w:val="20"/>
              </w:rPr>
              <w:t xml:space="preserve">implementation of the specific REDD+ intervention/PaM </w:t>
            </w:r>
            <w:r w:rsidRPr="00EF5DE8">
              <w:rPr>
                <w:rFonts w:cs="Calibri"/>
                <w:szCs w:val="20"/>
              </w:rPr>
              <w:t>will not result in the conversion of natural forests</w:t>
            </w:r>
            <w:r>
              <w:rPr>
                <w:rFonts w:cs="Calibri"/>
                <w:szCs w:val="20"/>
              </w:rPr>
              <w:t xml:space="preserve"> (micro)</w:t>
            </w:r>
          </w:p>
          <w:p w14:paraId="408CB660" w14:textId="77777777" w:rsidR="000F3DF0" w:rsidRPr="00EF5DE8" w:rsidRDefault="000F3DF0" w:rsidP="0039326F">
            <w:pPr>
              <w:pStyle w:val="ListParagraph"/>
              <w:numPr>
                <w:ilvl w:val="0"/>
                <w:numId w:val="39"/>
              </w:numPr>
              <w:jc w:val="left"/>
              <w:rPr>
                <w:rFonts w:cs="Calibri"/>
                <w:szCs w:val="20"/>
              </w:rPr>
            </w:pPr>
            <w:r w:rsidRPr="00EF5DE8">
              <w:rPr>
                <w:rFonts w:cs="Calibri"/>
                <w:szCs w:val="20"/>
              </w:rPr>
              <w:t>Mapping of natural forests in intervention areas prior to GRS implementation</w:t>
            </w:r>
            <w:r>
              <w:rPr>
                <w:rFonts w:cs="Calibri"/>
                <w:szCs w:val="20"/>
              </w:rPr>
              <w:t xml:space="preserve"> (micro)</w:t>
            </w:r>
          </w:p>
          <w:p w14:paraId="713D5936" w14:textId="77777777" w:rsidR="000F3DF0" w:rsidRPr="00EF5DE8" w:rsidRDefault="000F3DF0" w:rsidP="00036A7C">
            <w:pPr>
              <w:rPr>
                <w:rFonts w:cs="Calibri"/>
                <w:b/>
                <w:sz w:val="20"/>
                <w:szCs w:val="20"/>
              </w:rPr>
            </w:pPr>
          </w:p>
        </w:tc>
        <w:tc>
          <w:tcPr>
            <w:tcW w:w="6029" w:type="dxa"/>
          </w:tcPr>
          <w:p w14:paraId="599472BD" w14:textId="77777777" w:rsidR="000F3DF0" w:rsidRPr="00C27952" w:rsidRDefault="000F3DF0" w:rsidP="00036A7C">
            <w:pPr>
              <w:rPr>
                <w:rFonts w:cs="Calibri"/>
                <w:b/>
                <w:sz w:val="20"/>
                <w:szCs w:val="20"/>
              </w:rPr>
            </w:pPr>
            <w:r w:rsidRPr="00C27952">
              <w:rPr>
                <w:rFonts w:cs="Calibri"/>
                <w:b/>
                <w:sz w:val="20"/>
                <w:szCs w:val="20"/>
              </w:rPr>
              <w:t>Qualitative</w:t>
            </w:r>
          </w:p>
          <w:p w14:paraId="2F029BE5" w14:textId="77777777" w:rsidR="000F3DF0" w:rsidRDefault="000F3DF0" w:rsidP="00036A7C">
            <w:pPr>
              <w:rPr>
                <w:rFonts w:cs="Calibri"/>
                <w:sz w:val="20"/>
                <w:szCs w:val="20"/>
              </w:rPr>
            </w:pPr>
          </w:p>
          <w:p w14:paraId="122374DD" w14:textId="77777777" w:rsidR="000F3DF0" w:rsidRDefault="000F3DF0" w:rsidP="0039326F">
            <w:pPr>
              <w:pStyle w:val="ListParagraph"/>
              <w:numPr>
                <w:ilvl w:val="0"/>
                <w:numId w:val="40"/>
              </w:numPr>
              <w:jc w:val="left"/>
              <w:rPr>
                <w:rFonts w:cs="Calibri"/>
                <w:szCs w:val="20"/>
              </w:rPr>
            </w:pPr>
            <w:r>
              <w:rPr>
                <w:rFonts w:cs="Calibri"/>
                <w:szCs w:val="20"/>
              </w:rPr>
              <w:t xml:space="preserve">Evidence/description showing that REDD+ implementation in Ghana did not result in the conversion of natural forests (macro) </w:t>
            </w:r>
          </w:p>
          <w:p w14:paraId="7546FF80" w14:textId="77777777" w:rsidR="000F3DF0" w:rsidRPr="00EF5DE8" w:rsidRDefault="000F3DF0" w:rsidP="0039326F">
            <w:pPr>
              <w:pStyle w:val="ListParagraph"/>
              <w:numPr>
                <w:ilvl w:val="0"/>
                <w:numId w:val="40"/>
              </w:numPr>
              <w:jc w:val="left"/>
              <w:rPr>
                <w:rFonts w:cs="Calibri"/>
                <w:szCs w:val="20"/>
              </w:rPr>
            </w:pPr>
            <w:r>
              <w:rPr>
                <w:rFonts w:cs="Calibri"/>
                <w:szCs w:val="20"/>
              </w:rPr>
              <w:t>Evidence/description showing that specific REDD+ intervention did not result in the conversion of natural forests (micro)</w:t>
            </w:r>
          </w:p>
          <w:p w14:paraId="3FC4BAB3" w14:textId="77777777" w:rsidR="000F3DF0" w:rsidRDefault="000F3DF0" w:rsidP="00036A7C">
            <w:pPr>
              <w:rPr>
                <w:rFonts w:cs="Calibri"/>
                <w:sz w:val="20"/>
                <w:szCs w:val="20"/>
              </w:rPr>
            </w:pPr>
          </w:p>
          <w:p w14:paraId="793B3FC3" w14:textId="77777777" w:rsidR="000F3DF0" w:rsidRPr="00C27952" w:rsidRDefault="000F3DF0" w:rsidP="00036A7C">
            <w:pPr>
              <w:rPr>
                <w:rFonts w:cs="Calibri"/>
                <w:b/>
                <w:sz w:val="20"/>
                <w:szCs w:val="20"/>
              </w:rPr>
            </w:pPr>
            <w:r w:rsidRPr="00C27952">
              <w:rPr>
                <w:rFonts w:cs="Calibri"/>
                <w:b/>
                <w:sz w:val="20"/>
                <w:szCs w:val="20"/>
              </w:rPr>
              <w:t>Quantitative</w:t>
            </w:r>
          </w:p>
          <w:p w14:paraId="710A1AC4" w14:textId="77777777" w:rsidR="000F3DF0" w:rsidRPr="00C27952" w:rsidRDefault="000F3DF0" w:rsidP="0039326F">
            <w:pPr>
              <w:pStyle w:val="ListParagraph"/>
              <w:numPr>
                <w:ilvl w:val="0"/>
                <w:numId w:val="40"/>
              </w:numPr>
              <w:jc w:val="left"/>
              <w:rPr>
                <w:rFonts w:cs="Calibri"/>
                <w:b/>
                <w:szCs w:val="20"/>
              </w:rPr>
            </w:pPr>
            <w:r w:rsidRPr="00C27952">
              <w:rPr>
                <w:rFonts w:cs="Calibri"/>
                <w:szCs w:val="20"/>
              </w:rPr>
              <w:t>Information on the country’s natural forest cover (e.g. land cover change map of REDD+ interventions sites, confirming no conversion of natural forests to plantations and other land uses has taken place)</w:t>
            </w:r>
          </w:p>
        </w:tc>
      </w:tr>
      <w:tr w:rsidR="000F3DF0" w:rsidRPr="00853D7A" w14:paraId="441D282F" w14:textId="77777777" w:rsidTr="00036A7C">
        <w:trPr>
          <w:trHeight w:val="1537"/>
        </w:trPr>
        <w:tc>
          <w:tcPr>
            <w:tcW w:w="2841" w:type="dxa"/>
            <w:shd w:val="clear" w:color="auto" w:fill="auto"/>
          </w:tcPr>
          <w:p w14:paraId="5E06682F" w14:textId="77777777" w:rsidR="000F3DF0" w:rsidRPr="00EF5DE8" w:rsidRDefault="000F3DF0" w:rsidP="00036A7C">
            <w:pPr>
              <w:rPr>
                <w:rFonts w:cs="Calibri"/>
                <w:b/>
                <w:sz w:val="20"/>
                <w:szCs w:val="20"/>
              </w:rPr>
            </w:pPr>
            <w:r w:rsidRPr="00EF5DE8">
              <w:rPr>
                <w:sz w:val="20"/>
                <w:szCs w:val="20"/>
              </w:rPr>
              <w:lastRenderedPageBreak/>
              <w:t xml:space="preserve">REDD+ interventions/PAMs will be consistent with the conservation of natural forests and biodiversity </w:t>
            </w:r>
          </w:p>
        </w:tc>
        <w:tc>
          <w:tcPr>
            <w:tcW w:w="5608" w:type="dxa"/>
          </w:tcPr>
          <w:p w14:paraId="36D7C005" w14:textId="77777777" w:rsidR="000F3DF0" w:rsidRDefault="000F3DF0" w:rsidP="0039326F">
            <w:pPr>
              <w:pStyle w:val="ListParagraph"/>
              <w:numPr>
                <w:ilvl w:val="0"/>
                <w:numId w:val="40"/>
              </w:numPr>
              <w:jc w:val="left"/>
              <w:rPr>
                <w:rFonts w:cs="Calibri"/>
                <w:szCs w:val="20"/>
              </w:rPr>
            </w:pPr>
            <w:r w:rsidRPr="005264B3">
              <w:rPr>
                <w:rFonts w:cs="Calibri"/>
                <w:szCs w:val="20"/>
              </w:rPr>
              <w:t>Description of the relevant PLRs</w:t>
            </w:r>
            <w:r>
              <w:rPr>
                <w:rFonts w:cs="Calibri"/>
                <w:szCs w:val="20"/>
              </w:rPr>
              <w:t xml:space="preserve"> (and institutions)</w:t>
            </w:r>
            <w:r w:rsidRPr="005264B3">
              <w:rPr>
                <w:rFonts w:cs="Calibri"/>
                <w:szCs w:val="20"/>
              </w:rPr>
              <w:t xml:space="preserve"> that regulate the conservation of natural forests and biodiversity in Ghana</w:t>
            </w:r>
            <w:r>
              <w:rPr>
                <w:rFonts w:cs="Calibri"/>
                <w:szCs w:val="20"/>
              </w:rPr>
              <w:t>, including EIA (macro)</w:t>
            </w:r>
          </w:p>
          <w:p w14:paraId="0DEE5DB4" w14:textId="77777777" w:rsidR="000F3DF0" w:rsidRDefault="000F3DF0" w:rsidP="0039326F">
            <w:pPr>
              <w:pStyle w:val="ListParagraph"/>
              <w:numPr>
                <w:ilvl w:val="0"/>
                <w:numId w:val="40"/>
              </w:numPr>
              <w:jc w:val="left"/>
              <w:rPr>
                <w:rFonts w:cs="Calibri"/>
                <w:szCs w:val="20"/>
              </w:rPr>
            </w:pPr>
            <w:r>
              <w:rPr>
                <w:rFonts w:cs="Calibri"/>
                <w:szCs w:val="20"/>
              </w:rPr>
              <w:t>Description of any REDD+ specific measures to ensure the consistency of REDD+ with the conservation of natural forests and biodiversity (ESMF, project screening process, EPA validation, EIA requirements) (macro)</w:t>
            </w:r>
          </w:p>
          <w:p w14:paraId="0C8D8CB9" w14:textId="77777777" w:rsidR="000F3DF0" w:rsidRDefault="000F3DF0" w:rsidP="0039326F">
            <w:pPr>
              <w:pStyle w:val="ListParagraph"/>
              <w:numPr>
                <w:ilvl w:val="0"/>
                <w:numId w:val="40"/>
              </w:numPr>
              <w:jc w:val="left"/>
              <w:rPr>
                <w:rFonts w:cs="Calibri"/>
                <w:szCs w:val="20"/>
              </w:rPr>
            </w:pPr>
            <w:r>
              <w:rPr>
                <w:rFonts w:cs="Calibri"/>
                <w:szCs w:val="20"/>
              </w:rPr>
              <w:t>Description of important natural forests and biodiversity within targeted REDD+ intervention areas (if feasible)</w:t>
            </w:r>
          </w:p>
          <w:p w14:paraId="2D5C4FE1" w14:textId="77777777" w:rsidR="000F3DF0" w:rsidRPr="00EF5DE8" w:rsidRDefault="000F3DF0" w:rsidP="0039326F">
            <w:pPr>
              <w:pStyle w:val="ListParagraph"/>
              <w:numPr>
                <w:ilvl w:val="0"/>
                <w:numId w:val="40"/>
              </w:numPr>
              <w:jc w:val="left"/>
            </w:pPr>
            <w:r>
              <w:rPr>
                <w:rFonts w:cs="Calibri"/>
                <w:szCs w:val="20"/>
              </w:rPr>
              <w:t>Content of EIAs where considered necessary, as well as mitigation measures proposed for each relevant intervention (micro)</w:t>
            </w:r>
          </w:p>
          <w:p w14:paraId="497126D5" w14:textId="77777777" w:rsidR="000F3DF0" w:rsidRPr="00EF5DE8" w:rsidRDefault="000F3DF0" w:rsidP="00036A7C">
            <w:pPr>
              <w:rPr>
                <w:rFonts w:cs="Calibri"/>
                <w:b/>
                <w:sz w:val="20"/>
                <w:szCs w:val="20"/>
              </w:rPr>
            </w:pPr>
          </w:p>
        </w:tc>
        <w:tc>
          <w:tcPr>
            <w:tcW w:w="6029" w:type="dxa"/>
          </w:tcPr>
          <w:p w14:paraId="14EB86C8" w14:textId="77777777" w:rsidR="000F3DF0" w:rsidRPr="002722B0" w:rsidRDefault="000F3DF0" w:rsidP="00036A7C">
            <w:pPr>
              <w:rPr>
                <w:rFonts w:cs="Calibri"/>
                <w:b/>
                <w:sz w:val="20"/>
                <w:szCs w:val="20"/>
              </w:rPr>
            </w:pPr>
            <w:r w:rsidRPr="002722B0">
              <w:rPr>
                <w:rFonts w:cs="Calibri"/>
                <w:b/>
                <w:sz w:val="20"/>
                <w:szCs w:val="20"/>
              </w:rPr>
              <w:t>Qualitative</w:t>
            </w:r>
          </w:p>
          <w:p w14:paraId="2A9E727C" w14:textId="77777777" w:rsidR="000F3DF0" w:rsidRDefault="000F3DF0" w:rsidP="0039326F">
            <w:pPr>
              <w:pStyle w:val="ListParagraph"/>
              <w:numPr>
                <w:ilvl w:val="0"/>
                <w:numId w:val="41"/>
              </w:numPr>
              <w:jc w:val="left"/>
              <w:rPr>
                <w:rFonts w:cs="Calibri"/>
                <w:szCs w:val="20"/>
              </w:rPr>
            </w:pPr>
            <w:r>
              <w:rPr>
                <w:rFonts w:cs="Calibri"/>
                <w:szCs w:val="20"/>
              </w:rPr>
              <w:t>Description of how REDD+ implementation has impacted (positively and negatively) biodiversity/natural forests in Ghana (macro)</w:t>
            </w:r>
          </w:p>
          <w:p w14:paraId="1B9AD1FF" w14:textId="77777777" w:rsidR="000F3DF0" w:rsidRDefault="000F3DF0" w:rsidP="0039326F">
            <w:pPr>
              <w:pStyle w:val="ListParagraph"/>
              <w:numPr>
                <w:ilvl w:val="0"/>
                <w:numId w:val="41"/>
              </w:numPr>
              <w:jc w:val="left"/>
              <w:rPr>
                <w:rFonts w:cs="Calibri"/>
                <w:szCs w:val="20"/>
              </w:rPr>
            </w:pPr>
            <w:r>
              <w:rPr>
                <w:rFonts w:cs="Calibri"/>
                <w:szCs w:val="20"/>
              </w:rPr>
              <w:t>EIA M&amp;E reports for each relevant intervention area (micro)</w:t>
            </w:r>
          </w:p>
          <w:p w14:paraId="1D76DA09" w14:textId="77777777" w:rsidR="000F3DF0" w:rsidRDefault="000F3DF0" w:rsidP="0039326F">
            <w:pPr>
              <w:pStyle w:val="ListParagraph"/>
              <w:numPr>
                <w:ilvl w:val="0"/>
                <w:numId w:val="41"/>
              </w:numPr>
              <w:jc w:val="left"/>
              <w:rPr>
                <w:rFonts w:cs="Calibri"/>
                <w:szCs w:val="20"/>
              </w:rPr>
            </w:pPr>
            <w:r>
              <w:rPr>
                <w:rFonts w:cs="Calibri"/>
                <w:szCs w:val="20"/>
              </w:rPr>
              <w:t>Any additional oversight/monitoring of the implementation of EIA mitigation plans (from other source than the implementer) (micro)</w:t>
            </w:r>
          </w:p>
          <w:p w14:paraId="73976029" w14:textId="77777777" w:rsidR="000F3DF0" w:rsidRDefault="000F3DF0" w:rsidP="00036A7C">
            <w:pPr>
              <w:rPr>
                <w:rFonts w:cs="Calibri"/>
                <w:szCs w:val="20"/>
              </w:rPr>
            </w:pPr>
          </w:p>
          <w:p w14:paraId="1150FD62" w14:textId="77777777" w:rsidR="000F3DF0" w:rsidRPr="00A210CC" w:rsidRDefault="000F3DF0" w:rsidP="00036A7C">
            <w:pPr>
              <w:rPr>
                <w:rFonts w:cs="Calibri"/>
                <w:b/>
                <w:sz w:val="20"/>
                <w:szCs w:val="20"/>
              </w:rPr>
            </w:pPr>
            <w:r w:rsidRPr="002722B0">
              <w:rPr>
                <w:rFonts w:cs="Calibri"/>
                <w:b/>
                <w:sz w:val="20"/>
                <w:szCs w:val="20"/>
              </w:rPr>
              <w:t>Quantitative</w:t>
            </w:r>
          </w:p>
          <w:p w14:paraId="6B154F12" w14:textId="77777777" w:rsidR="000F3DF0" w:rsidRDefault="000F3DF0" w:rsidP="0039326F">
            <w:pPr>
              <w:pStyle w:val="ListParagraph"/>
              <w:numPr>
                <w:ilvl w:val="0"/>
                <w:numId w:val="41"/>
              </w:numPr>
              <w:jc w:val="left"/>
              <w:rPr>
                <w:rFonts w:cs="Calibri"/>
                <w:szCs w:val="20"/>
              </w:rPr>
            </w:pPr>
            <w:r>
              <w:rPr>
                <w:rFonts w:cs="Calibri"/>
                <w:szCs w:val="20"/>
              </w:rPr>
              <w:t>Number of interventions requiring EIAs (and percentage)</w:t>
            </w:r>
          </w:p>
          <w:p w14:paraId="2B8767C4" w14:textId="77777777" w:rsidR="000F3DF0" w:rsidRPr="002722B0" w:rsidRDefault="000F3DF0" w:rsidP="0039326F">
            <w:pPr>
              <w:pStyle w:val="ListParagraph"/>
              <w:numPr>
                <w:ilvl w:val="0"/>
                <w:numId w:val="41"/>
              </w:numPr>
              <w:jc w:val="left"/>
              <w:rPr>
                <w:rFonts w:cs="Calibri"/>
                <w:szCs w:val="20"/>
              </w:rPr>
            </w:pPr>
            <w:r>
              <w:rPr>
                <w:rFonts w:cs="Calibri"/>
                <w:szCs w:val="20"/>
              </w:rPr>
              <w:t>Statistics on biodiversity change in intervention areas (if feasible)</w:t>
            </w:r>
          </w:p>
          <w:p w14:paraId="04A4985B" w14:textId="77777777" w:rsidR="000F3DF0" w:rsidRPr="00EF5DE8" w:rsidRDefault="000F3DF0" w:rsidP="00036A7C">
            <w:pPr>
              <w:rPr>
                <w:rFonts w:cs="Calibri"/>
                <w:sz w:val="20"/>
                <w:szCs w:val="20"/>
              </w:rPr>
            </w:pPr>
          </w:p>
          <w:p w14:paraId="39759FD8" w14:textId="77777777" w:rsidR="000F3DF0" w:rsidRPr="00EF5DE8" w:rsidRDefault="000F3DF0" w:rsidP="00036A7C">
            <w:pPr>
              <w:rPr>
                <w:rFonts w:cs="Calibri"/>
                <w:sz w:val="20"/>
                <w:szCs w:val="20"/>
              </w:rPr>
            </w:pPr>
          </w:p>
          <w:p w14:paraId="7081F191" w14:textId="77777777" w:rsidR="000F3DF0" w:rsidRPr="00EF5DE8" w:rsidRDefault="000F3DF0" w:rsidP="00036A7C">
            <w:pPr>
              <w:rPr>
                <w:rFonts w:cs="Calibri"/>
                <w:b/>
                <w:sz w:val="20"/>
                <w:szCs w:val="20"/>
              </w:rPr>
            </w:pPr>
          </w:p>
        </w:tc>
      </w:tr>
      <w:tr w:rsidR="000F3DF0" w:rsidRPr="00853D7A" w14:paraId="1899E2CB" w14:textId="77777777" w:rsidTr="00036A7C">
        <w:trPr>
          <w:trHeight w:val="1537"/>
        </w:trPr>
        <w:tc>
          <w:tcPr>
            <w:tcW w:w="2841" w:type="dxa"/>
            <w:shd w:val="clear" w:color="auto" w:fill="auto"/>
          </w:tcPr>
          <w:p w14:paraId="2D9B6B1E" w14:textId="77777777" w:rsidR="000F3DF0" w:rsidRPr="00EF5DE8" w:rsidRDefault="000F3DF0" w:rsidP="00036A7C">
            <w:pPr>
              <w:rPr>
                <w:sz w:val="20"/>
                <w:szCs w:val="20"/>
              </w:rPr>
            </w:pPr>
            <w:r w:rsidRPr="00EF5DE8">
              <w:rPr>
                <w:rFonts w:cs="Calibri"/>
                <w:sz w:val="20"/>
                <w:szCs w:val="20"/>
              </w:rPr>
              <w:t xml:space="preserve">REDD+ interventions/PAMs will promote the enhancement of, </w:t>
            </w:r>
            <w:r w:rsidRPr="00EF5DE8">
              <w:rPr>
                <w:sz w:val="20"/>
                <w:szCs w:val="20"/>
              </w:rPr>
              <w:t>ecological, biological, climatic, socio- cultural and economic benefits of forest resources</w:t>
            </w:r>
          </w:p>
          <w:p w14:paraId="3E6921C9" w14:textId="77777777" w:rsidR="000F3DF0" w:rsidRPr="00EF5DE8" w:rsidRDefault="000F3DF0" w:rsidP="00036A7C">
            <w:pPr>
              <w:rPr>
                <w:rFonts w:cs="Calibri"/>
                <w:b/>
                <w:sz w:val="20"/>
                <w:szCs w:val="20"/>
              </w:rPr>
            </w:pPr>
          </w:p>
        </w:tc>
        <w:tc>
          <w:tcPr>
            <w:tcW w:w="5608" w:type="dxa"/>
          </w:tcPr>
          <w:p w14:paraId="6241E539" w14:textId="77777777" w:rsidR="000F3DF0" w:rsidRPr="00A210CC" w:rsidRDefault="000F3DF0" w:rsidP="0039326F">
            <w:pPr>
              <w:pStyle w:val="ListParagraph"/>
              <w:numPr>
                <w:ilvl w:val="0"/>
                <w:numId w:val="42"/>
              </w:numPr>
              <w:jc w:val="left"/>
              <w:rPr>
                <w:rFonts w:cs="Calibri"/>
                <w:szCs w:val="20"/>
              </w:rPr>
            </w:pPr>
            <w:r w:rsidRPr="00A210CC">
              <w:rPr>
                <w:rFonts w:cs="Calibri"/>
                <w:szCs w:val="20"/>
              </w:rPr>
              <w:t xml:space="preserve">Description of how Ghana’s PLRs </w:t>
            </w:r>
            <w:r w:rsidRPr="00A210CC">
              <w:rPr>
                <w:szCs w:val="20"/>
              </w:rPr>
              <w:t xml:space="preserve">promote the development of viable forest and wildlife based industries and </w:t>
            </w:r>
            <w:r>
              <w:rPr>
                <w:szCs w:val="20"/>
              </w:rPr>
              <w:t xml:space="preserve">alternative </w:t>
            </w:r>
            <w:r w:rsidRPr="00A210CC">
              <w:rPr>
                <w:szCs w:val="20"/>
              </w:rPr>
              <w:t>livelihoods.</w:t>
            </w:r>
            <w:r>
              <w:rPr>
                <w:szCs w:val="20"/>
              </w:rPr>
              <w:t xml:space="preserve"> (macro)</w:t>
            </w:r>
          </w:p>
          <w:p w14:paraId="1503A74F" w14:textId="77777777" w:rsidR="000F3DF0" w:rsidRPr="00A64F77" w:rsidRDefault="000F3DF0" w:rsidP="0039326F">
            <w:pPr>
              <w:pStyle w:val="ListParagraph"/>
              <w:numPr>
                <w:ilvl w:val="0"/>
                <w:numId w:val="42"/>
              </w:numPr>
              <w:jc w:val="left"/>
              <w:rPr>
                <w:rFonts w:cs="Calibri"/>
                <w:szCs w:val="20"/>
              </w:rPr>
            </w:pPr>
            <w:r>
              <w:rPr>
                <w:szCs w:val="20"/>
              </w:rPr>
              <w:t xml:space="preserve">Description of addition measures to </w:t>
            </w:r>
            <w:r w:rsidRPr="00A210CC">
              <w:rPr>
                <w:szCs w:val="20"/>
              </w:rPr>
              <w:t xml:space="preserve">promote the development of viable forest based industries and </w:t>
            </w:r>
            <w:r>
              <w:rPr>
                <w:szCs w:val="20"/>
              </w:rPr>
              <w:t xml:space="preserve">alternative </w:t>
            </w:r>
            <w:r w:rsidRPr="00A210CC">
              <w:rPr>
                <w:szCs w:val="20"/>
              </w:rPr>
              <w:t>livelihoods</w:t>
            </w:r>
            <w:r>
              <w:rPr>
                <w:szCs w:val="20"/>
              </w:rPr>
              <w:t xml:space="preserve"> (ecotourism, agroforestry etc.) (macro)</w:t>
            </w:r>
          </w:p>
          <w:p w14:paraId="48362EE1" w14:textId="77777777" w:rsidR="000F3DF0" w:rsidRPr="00A64F77" w:rsidRDefault="000F3DF0" w:rsidP="0039326F">
            <w:pPr>
              <w:pStyle w:val="ListParagraph"/>
              <w:numPr>
                <w:ilvl w:val="0"/>
                <w:numId w:val="42"/>
              </w:numPr>
              <w:jc w:val="left"/>
              <w:rPr>
                <w:rFonts w:cs="Calibri"/>
                <w:szCs w:val="20"/>
              </w:rPr>
            </w:pPr>
            <w:r>
              <w:rPr>
                <w:szCs w:val="20"/>
              </w:rPr>
              <w:t xml:space="preserve">Description of measures to </w:t>
            </w:r>
            <w:r w:rsidRPr="00A210CC">
              <w:rPr>
                <w:szCs w:val="20"/>
              </w:rPr>
              <w:t xml:space="preserve">promote the development of </w:t>
            </w:r>
            <w:r>
              <w:rPr>
                <w:szCs w:val="20"/>
              </w:rPr>
              <w:t xml:space="preserve">alternative </w:t>
            </w:r>
            <w:r w:rsidRPr="00A210CC">
              <w:rPr>
                <w:szCs w:val="20"/>
              </w:rPr>
              <w:t>livelihoods</w:t>
            </w:r>
            <w:r>
              <w:rPr>
                <w:szCs w:val="20"/>
              </w:rPr>
              <w:t xml:space="preserve"> in specific REDD+ intervention area (micro)</w:t>
            </w:r>
          </w:p>
          <w:p w14:paraId="61B15BE2" w14:textId="77777777" w:rsidR="000F3DF0" w:rsidRPr="00A64F77" w:rsidRDefault="000F3DF0" w:rsidP="0039326F">
            <w:pPr>
              <w:pStyle w:val="ListParagraph"/>
              <w:numPr>
                <w:ilvl w:val="0"/>
                <w:numId w:val="42"/>
              </w:numPr>
              <w:jc w:val="left"/>
              <w:rPr>
                <w:rFonts w:cs="Calibri"/>
                <w:szCs w:val="20"/>
              </w:rPr>
            </w:pPr>
            <w:r>
              <w:rPr>
                <w:szCs w:val="20"/>
              </w:rPr>
              <w:t>Description of non-monetary benefits included in the design of REDD+ (macro)</w:t>
            </w:r>
          </w:p>
          <w:p w14:paraId="6C1EC763" w14:textId="77777777" w:rsidR="000F3DF0" w:rsidRPr="00A210CC" w:rsidRDefault="000F3DF0" w:rsidP="0039326F">
            <w:pPr>
              <w:pStyle w:val="ListParagraph"/>
              <w:numPr>
                <w:ilvl w:val="0"/>
                <w:numId w:val="42"/>
              </w:numPr>
              <w:jc w:val="left"/>
              <w:rPr>
                <w:rFonts w:cs="Calibri"/>
                <w:szCs w:val="20"/>
              </w:rPr>
            </w:pPr>
            <w:r>
              <w:rPr>
                <w:szCs w:val="20"/>
              </w:rPr>
              <w:t>Description of non-monetary benefits included in the design of the specific REDD+ intervention (micro)</w:t>
            </w:r>
          </w:p>
          <w:p w14:paraId="73D41C72" w14:textId="77777777" w:rsidR="000F3DF0" w:rsidRPr="00EF5DE8" w:rsidRDefault="000F3DF0" w:rsidP="00036A7C">
            <w:pPr>
              <w:rPr>
                <w:rFonts w:cs="Calibri"/>
                <w:sz w:val="20"/>
                <w:szCs w:val="20"/>
              </w:rPr>
            </w:pPr>
          </w:p>
          <w:p w14:paraId="2B542871" w14:textId="77777777" w:rsidR="000F3DF0" w:rsidRPr="00EF5DE8" w:rsidRDefault="000F3DF0" w:rsidP="00036A7C">
            <w:pPr>
              <w:rPr>
                <w:rFonts w:cs="Calibri"/>
                <w:b/>
                <w:sz w:val="20"/>
                <w:szCs w:val="20"/>
              </w:rPr>
            </w:pPr>
          </w:p>
        </w:tc>
        <w:tc>
          <w:tcPr>
            <w:tcW w:w="6029" w:type="dxa"/>
          </w:tcPr>
          <w:p w14:paraId="56A04799" w14:textId="77777777" w:rsidR="000F3DF0" w:rsidRPr="00A64F77" w:rsidRDefault="000F3DF0" w:rsidP="00036A7C">
            <w:pPr>
              <w:rPr>
                <w:rFonts w:cs="Calibri"/>
                <w:b/>
                <w:sz w:val="20"/>
                <w:szCs w:val="20"/>
              </w:rPr>
            </w:pPr>
            <w:r w:rsidRPr="00A64F77">
              <w:rPr>
                <w:rFonts w:cs="Calibri"/>
                <w:b/>
                <w:sz w:val="20"/>
                <w:szCs w:val="20"/>
              </w:rPr>
              <w:t>Qualitative</w:t>
            </w:r>
          </w:p>
          <w:p w14:paraId="5DE79C89" w14:textId="77777777" w:rsidR="000F3DF0" w:rsidRDefault="000F3DF0" w:rsidP="00036A7C">
            <w:pPr>
              <w:rPr>
                <w:rFonts w:cs="Calibri"/>
                <w:sz w:val="20"/>
                <w:szCs w:val="20"/>
              </w:rPr>
            </w:pPr>
          </w:p>
          <w:p w14:paraId="196D1973" w14:textId="77777777" w:rsidR="000F3DF0" w:rsidRDefault="000F3DF0" w:rsidP="0039326F">
            <w:pPr>
              <w:pStyle w:val="ListParagraph"/>
              <w:numPr>
                <w:ilvl w:val="0"/>
                <w:numId w:val="43"/>
              </w:numPr>
              <w:jc w:val="left"/>
              <w:rPr>
                <w:rFonts w:cs="Calibri"/>
                <w:szCs w:val="20"/>
              </w:rPr>
            </w:pPr>
            <w:r w:rsidRPr="00A64F77">
              <w:rPr>
                <w:rFonts w:cs="Calibri"/>
                <w:szCs w:val="20"/>
              </w:rPr>
              <w:t>Information on how the implementation of REDD+ in Ghana have led to enhancement of economic social and environmental benefits and ecological, biological, climatic contributions of forest resources (macro)</w:t>
            </w:r>
          </w:p>
          <w:p w14:paraId="097616EA" w14:textId="77777777" w:rsidR="000F3DF0" w:rsidRDefault="000F3DF0" w:rsidP="0039326F">
            <w:pPr>
              <w:pStyle w:val="ListParagraph"/>
              <w:numPr>
                <w:ilvl w:val="0"/>
                <w:numId w:val="43"/>
              </w:numPr>
              <w:jc w:val="left"/>
              <w:rPr>
                <w:rFonts w:cs="Calibri"/>
                <w:szCs w:val="20"/>
              </w:rPr>
            </w:pPr>
            <w:r w:rsidRPr="00A64F77">
              <w:rPr>
                <w:rFonts w:cs="Calibri"/>
                <w:szCs w:val="20"/>
              </w:rPr>
              <w:t xml:space="preserve">Information on how the implementation of </w:t>
            </w:r>
            <w:r>
              <w:rPr>
                <w:rFonts w:cs="Calibri"/>
                <w:szCs w:val="20"/>
              </w:rPr>
              <w:t xml:space="preserve">the specific </w:t>
            </w:r>
            <w:r w:rsidRPr="00A64F77">
              <w:rPr>
                <w:rFonts w:cs="Calibri"/>
                <w:szCs w:val="20"/>
              </w:rPr>
              <w:t>REDD+ in</w:t>
            </w:r>
            <w:r>
              <w:rPr>
                <w:rFonts w:cs="Calibri"/>
                <w:szCs w:val="20"/>
              </w:rPr>
              <w:t>tervention</w:t>
            </w:r>
            <w:r w:rsidRPr="00A64F77">
              <w:rPr>
                <w:rFonts w:cs="Calibri"/>
                <w:szCs w:val="20"/>
              </w:rPr>
              <w:t xml:space="preserve"> led to enhancement of economic social and environmental benefits and ecological, biological, climatic contributions of forest resources</w:t>
            </w:r>
            <w:r>
              <w:rPr>
                <w:rFonts w:cs="Calibri"/>
                <w:szCs w:val="20"/>
              </w:rPr>
              <w:t xml:space="preserve"> (mi</w:t>
            </w:r>
            <w:r w:rsidRPr="00A64F77">
              <w:rPr>
                <w:rFonts w:cs="Calibri"/>
                <w:szCs w:val="20"/>
              </w:rPr>
              <w:t>cro)</w:t>
            </w:r>
          </w:p>
          <w:p w14:paraId="1259C316" w14:textId="77777777" w:rsidR="000F3DF0" w:rsidRDefault="000F3DF0" w:rsidP="00036A7C">
            <w:pPr>
              <w:rPr>
                <w:rFonts w:cs="Calibri"/>
                <w:szCs w:val="20"/>
              </w:rPr>
            </w:pPr>
          </w:p>
          <w:p w14:paraId="189DDFB0" w14:textId="77777777" w:rsidR="000F3DF0" w:rsidRPr="00A64F77" w:rsidRDefault="000F3DF0" w:rsidP="00036A7C">
            <w:pPr>
              <w:rPr>
                <w:rFonts w:cs="Calibri"/>
                <w:b/>
                <w:sz w:val="20"/>
                <w:szCs w:val="20"/>
              </w:rPr>
            </w:pPr>
            <w:r w:rsidRPr="00A64F77">
              <w:rPr>
                <w:rFonts w:cs="Calibri"/>
                <w:b/>
                <w:sz w:val="20"/>
                <w:szCs w:val="20"/>
              </w:rPr>
              <w:t>Quantitative</w:t>
            </w:r>
          </w:p>
          <w:p w14:paraId="7B9B1B5B" w14:textId="77777777" w:rsidR="000F3DF0" w:rsidRPr="00A64F77" w:rsidRDefault="000F3DF0" w:rsidP="0039326F">
            <w:pPr>
              <w:pStyle w:val="ListParagraph"/>
              <w:numPr>
                <w:ilvl w:val="0"/>
                <w:numId w:val="44"/>
              </w:numPr>
              <w:jc w:val="left"/>
              <w:rPr>
                <w:rFonts w:cs="Calibri"/>
                <w:szCs w:val="20"/>
              </w:rPr>
            </w:pPr>
            <w:r w:rsidRPr="00A64F77">
              <w:rPr>
                <w:rFonts w:cs="Calibri"/>
                <w:szCs w:val="20"/>
              </w:rPr>
              <w:t>Statistics</w:t>
            </w:r>
            <w:r>
              <w:rPr>
                <w:rFonts w:cs="Calibri"/>
                <w:szCs w:val="20"/>
              </w:rPr>
              <w:t xml:space="preserve"> (macro and micro)</w:t>
            </w:r>
            <w:r w:rsidRPr="00A64F77">
              <w:rPr>
                <w:rFonts w:cs="Calibri"/>
                <w:szCs w:val="20"/>
              </w:rPr>
              <w:t xml:space="preserve"> on</w:t>
            </w:r>
            <w:r>
              <w:rPr>
                <w:rFonts w:cs="Calibri"/>
                <w:szCs w:val="20"/>
              </w:rPr>
              <w:t>:</w:t>
            </w:r>
          </w:p>
          <w:p w14:paraId="087569A6" w14:textId="77777777" w:rsidR="000F3DF0" w:rsidRPr="00A64F77" w:rsidRDefault="000F3DF0" w:rsidP="0039326F">
            <w:pPr>
              <w:pStyle w:val="ListParagraph"/>
              <w:numPr>
                <w:ilvl w:val="1"/>
                <w:numId w:val="44"/>
              </w:numPr>
              <w:ind w:left="623" w:hanging="270"/>
              <w:jc w:val="left"/>
              <w:rPr>
                <w:rFonts w:cs="Calibri"/>
                <w:szCs w:val="20"/>
              </w:rPr>
            </w:pPr>
            <w:r>
              <w:rPr>
                <w:rFonts w:cs="Calibri"/>
                <w:szCs w:val="20"/>
              </w:rPr>
              <w:t xml:space="preserve"> jobs created</w:t>
            </w:r>
          </w:p>
          <w:p w14:paraId="1B62B4E3" w14:textId="77777777" w:rsidR="000F3DF0" w:rsidRPr="00A64F77" w:rsidRDefault="000F3DF0" w:rsidP="0039326F">
            <w:pPr>
              <w:pStyle w:val="ListParagraph"/>
              <w:numPr>
                <w:ilvl w:val="1"/>
                <w:numId w:val="44"/>
              </w:numPr>
              <w:ind w:left="623" w:hanging="270"/>
              <w:jc w:val="left"/>
              <w:rPr>
                <w:rFonts w:cs="Calibri"/>
                <w:szCs w:val="20"/>
              </w:rPr>
            </w:pPr>
            <w:r>
              <w:rPr>
                <w:rFonts w:cs="Calibri"/>
                <w:szCs w:val="20"/>
              </w:rPr>
              <w:t xml:space="preserve">change in incomes </w:t>
            </w:r>
          </w:p>
          <w:p w14:paraId="34C2290E" w14:textId="77777777" w:rsidR="000F3DF0" w:rsidRPr="00A64F77" w:rsidRDefault="000F3DF0" w:rsidP="0039326F">
            <w:pPr>
              <w:pStyle w:val="ListParagraph"/>
              <w:numPr>
                <w:ilvl w:val="1"/>
                <w:numId w:val="44"/>
              </w:numPr>
              <w:ind w:left="623" w:hanging="270"/>
              <w:jc w:val="left"/>
              <w:rPr>
                <w:rFonts w:cs="Calibri"/>
                <w:szCs w:val="20"/>
              </w:rPr>
            </w:pPr>
            <w:r>
              <w:rPr>
                <w:rFonts w:cs="Calibri"/>
                <w:szCs w:val="20"/>
              </w:rPr>
              <w:t xml:space="preserve">improved </w:t>
            </w:r>
            <w:r w:rsidRPr="00A64F77">
              <w:rPr>
                <w:rFonts w:cs="Calibri"/>
                <w:szCs w:val="20"/>
              </w:rPr>
              <w:t>access to social services (education, healthcare)</w:t>
            </w:r>
          </w:p>
          <w:p w14:paraId="17ADC798" w14:textId="77777777" w:rsidR="000F3DF0" w:rsidRPr="00A64F77" w:rsidRDefault="000F3DF0" w:rsidP="0039326F">
            <w:pPr>
              <w:pStyle w:val="ListParagraph"/>
              <w:numPr>
                <w:ilvl w:val="1"/>
                <w:numId w:val="44"/>
              </w:numPr>
              <w:ind w:left="623" w:hanging="270"/>
              <w:jc w:val="left"/>
              <w:rPr>
                <w:rFonts w:cs="Calibri"/>
                <w:szCs w:val="20"/>
              </w:rPr>
            </w:pPr>
            <w:r>
              <w:rPr>
                <w:rFonts w:cs="Calibri"/>
                <w:szCs w:val="20"/>
              </w:rPr>
              <w:t>Training provided</w:t>
            </w:r>
          </w:p>
          <w:p w14:paraId="00CECCF7" w14:textId="77777777" w:rsidR="000F3DF0" w:rsidRPr="00EF5DE8" w:rsidRDefault="000F3DF0" w:rsidP="00036A7C">
            <w:pPr>
              <w:rPr>
                <w:rFonts w:cs="Calibri"/>
                <w:b/>
                <w:sz w:val="20"/>
                <w:szCs w:val="20"/>
              </w:rPr>
            </w:pPr>
          </w:p>
        </w:tc>
      </w:tr>
    </w:tbl>
    <w:p w14:paraId="629E4F06" w14:textId="77777777" w:rsidR="000F3DF0" w:rsidRPr="00684F48" w:rsidRDefault="000F3DF0" w:rsidP="000F3DF0"/>
    <w:p w14:paraId="6E4A973E" w14:textId="77777777" w:rsidR="000F3DF0" w:rsidRPr="00684F48" w:rsidRDefault="000F3DF0" w:rsidP="000F3DF0"/>
    <w:p w14:paraId="1CA22C48" w14:textId="1280EE2D" w:rsidR="000F3DF0" w:rsidRPr="00684F48" w:rsidRDefault="000F3DF0" w:rsidP="000F3DF0"/>
    <w:p w14:paraId="148998F4" w14:textId="77777777" w:rsidR="000F3DF0" w:rsidRPr="00A64F77" w:rsidRDefault="000F3DF0" w:rsidP="000F3DF0">
      <w:pPr>
        <w:pStyle w:val="Heading1"/>
        <w:rPr>
          <w:rFonts w:ascii="Calibri" w:hAnsi="Calibri"/>
          <w:b/>
        </w:rPr>
      </w:pPr>
      <w:r w:rsidRPr="00A64F77">
        <w:rPr>
          <w:rFonts w:ascii="Calibri" w:hAnsi="Calibri"/>
          <w:b/>
        </w:rPr>
        <w:t>Safeguards (f) Actions to address the risks of reversals and (g) Actions to reduce displacement of emissions</w:t>
      </w:r>
    </w:p>
    <w:p w14:paraId="7DBD9776" w14:textId="77777777" w:rsidR="000F3DF0" w:rsidRPr="00A64F77" w:rsidRDefault="000F3DF0" w:rsidP="000F3DF0"/>
    <w:p w14:paraId="6D688D5D" w14:textId="77777777" w:rsidR="000F3DF0" w:rsidRPr="00A64F77" w:rsidRDefault="000F3DF0" w:rsidP="000F3DF0"/>
    <w:tbl>
      <w:tblPr>
        <w:tblW w:w="1447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2"/>
        <w:gridCol w:w="4425"/>
        <w:gridCol w:w="6210"/>
      </w:tblGrid>
      <w:tr w:rsidR="000F3DF0" w:rsidRPr="00853D7A" w14:paraId="55294513" w14:textId="77777777" w:rsidTr="00036A7C">
        <w:trPr>
          <w:trHeight w:val="1537"/>
        </w:trPr>
        <w:tc>
          <w:tcPr>
            <w:tcW w:w="1921" w:type="dxa"/>
            <w:shd w:val="clear" w:color="auto" w:fill="auto"/>
          </w:tcPr>
          <w:p w14:paraId="5F042098" w14:textId="77777777" w:rsidR="000F3DF0" w:rsidRPr="00A64F77" w:rsidRDefault="000F3DF0" w:rsidP="00036A7C">
            <w:pPr>
              <w:rPr>
                <w:rFonts w:cs="Calibri"/>
                <w:b/>
                <w:sz w:val="20"/>
                <w:szCs w:val="20"/>
              </w:rPr>
            </w:pPr>
            <w:r w:rsidRPr="00A64F77">
              <w:rPr>
                <w:rFonts w:cs="Calibri"/>
                <w:b/>
                <w:sz w:val="20"/>
                <w:szCs w:val="20"/>
              </w:rPr>
              <w:t xml:space="preserve">Safeguard element  </w:t>
            </w:r>
          </w:p>
        </w:tc>
        <w:tc>
          <w:tcPr>
            <w:tcW w:w="1922" w:type="dxa"/>
          </w:tcPr>
          <w:p w14:paraId="3C635224" w14:textId="77777777" w:rsidR="000F3DF0" w:rsidRPr="00A64F77" w:rsidRDefault="000F3DF0" w:rsidP="00036A7C">
            <w:pPr>
              <w:rPr>
                <w:rFonts w:cs="Calibri"/>
                <w:b/>
                <w:sz w:val="20"/>
                <w:szCs w:val="20"/>
              </w:rPr>
            </w:pPr>
            <w:r w:rsidRPr="00A64F77">
              <w:rPr>
                <w:rFonts w:cs="Calibri"/>
                <w:b/>
                <w:sz w:val="20"/>
                <w:szCs w:val="20"/>
              </w:rPr>
              <w:t>Safeguard sub-element (if applicable)</w:t>
            </w:r>
          </w:p>
          <w:p w14:paraId="495310A2" w14:textId="77777777" w:rsidR="000F3DF0" w:rsidRPr="00A64F77" w:rsidRDefault="000F3DF0" w:rsidP="00036A7C">
            <w:pPr>
              <w:rPr>
                <w:rFonts w:cs="Calibri"/>
                <w:b/>
                <w:sz w:val="20"/>
                <w:szCs w:val="20"/>
              </w:rPr>
            </w:pPr>
          </w:p>
        </w:tc>
        <w:tc>
          <w:tcPr>
            <w:tcW w:w="4425" w:type="dxa"/>
          </w:tcPr>
          <w:p w14:paraId="12B203BA" w14:textId="77777777" w:rsidR="000F3DF0" w:rsidRPr="00A64F77" w:rsidRDefault="000F3DF0" w:rsidP="00036A7C">
            <w:pPr>
              <w:rPr>
                <w:rFonts w:cs="Calibri"/>
                <w:b/>
                <w:sz w:val="20"/>
                <w:szCs w:val="20"/>
              </w:rPr>
            </w:pPr>
            <w:r w:rsidRPr="00A64F77">
              <w:rPr>
                <w:rFonts w:cs="Calibri"/>
                <w:b/>
                <w:sz w:val="20"/>
                <w:szCs w:val="20"/>
              </w:rPr>
              <w:t>Types of information that could be provided to demonstrate how the safeguard is being addressed</w:t>
            </w:r>
          </w:p>
        </w:tc>
        <w:tc>
          <w:tcPr>
            <w:tcW w:w="6210" w:type="dxa"/>
          </w:tcPr>
          <w:p w14:paraId="5245A720" w14:textId="77777777" w:rsidR="000F3DF0" w:rsidRPr="00A64F77" w:rsidRDefault="000F3DF0" w:rsidP="00036A7C">
            <w:pPr>
              <w:rPr>
                <w:rFonts w:cs="Calibri"/>
                <w:b/>
                <w:sz w:val="20"/>
                <w:szCs w:val="20"/>
              </w:rPr>
            </w:pPr>
            <w:r w:rsidRPr="00A64F77">
              <w:rPr>
                <w:rFonts w:cs="Calibri"/>
                <w:b/>
                <w:sz w:val="20"/>
                <w:szCs w:val="20"/>
              </w:rPr>
              <w:t>Types of information to be provided to demonstrate how the safeguard has been respected</w:t>
            </w:r>
          </w:p>
        </w:tc>
      </w:tr>
      <w:tr w:rsidR="000F3DF0" w:rsidRPr="00853D7A" w14:paraId="4F59D3EE" w14:textId="77777777" w:rsidTr="00036A7C">
        <w:trPr>
          <w:trHeight w:val="2190"/>
        </w:trPr>
        <w:tc>
          <w:tcPr>
            <w:tcW w:w="1921" w:type="dxa"/>
            <w:vMerge w:val="restart"/>
            <w:shd w:val="clear" w:color="auto" w:fill="auto"/>
          </w:tcPr>
          <w:p w14:paraId="2B4BCA90" w14:textId="77777777" w:rsidR="000F3DF0" w:rsidRPr="00A64F77" w:rsidRDefault="000F3DF0" w:rsidP="00036A7C">
            <w:pPr>
              <w:rPr>
                <w:rFonts w:cs="Calibri"/>
                <w:b/>
                <w:sz w:val="20"/>
                <w:szCs w:val="20"/>
              </w:rPr>
            </w:pPr>
            <w:r w:rsidRPr="00A64F77">
              <w:rPr>
                <w:bCs/>
                <w:sz w:val="20"/>
                <w:szCs w:val="20"/>
              </w:rPr>
              <w:t>Actions to address the risks of reversals</w:t>
            </w:r>
          </w:p>
        </w:tc>
        <w:tc>
          <w:tcPr>
            <w:tcW w:w="1922" w:type="dxa"/>
          </w:tcPr>
          <w:p w14:paraId="15A6B5EE" w14:textId="77777777" w:rsidR="000F3DF0" w:rsidRPr="00A64F77" w:rsidRDefault="000F3DF0" w:rsidP="00036A7C">
            <w:pPr>
              <w:rPr>
                <w:rFonts w:cs="Calibri"/>
                <w:b/>
                <w:sz w:val="20"/>
                <w:szCs w:val="20"/>
              </w:rPr>
            </w:pPr>
            <w:r w:rsidRPr="00A64F77">
              <w:rPr>
                <w:rFonts w:cs="Calibri"/>
                <w:sz w:val="20"/>
                <w:szCs w:val="20"/>
              </w:rPr>
              <w:t>Identification of risks of reversals</w:t>
            </w:r>
          </w:p>
        </w:tc>
        <w:tc>
          <w:tcPr>
            <w:tcW w:w="4425" w:type="dxa"/>
          </w:tcPr>
          <w:p w14:paraId="379E271B" w14:textId="77777777" w:rsidR="000F3DF0" w:rsidRPr="00A64F77" w:rsidRDefault="000F3DF0" w:rsidP="00036A7C">
            <w:pPr>
              <w:rPr>
                <w:rFonts w:cs="Calibri"/>
                <w:b/>
                <w:sz w:val="20"/>
                <w:szCs w:val="20"/>
              </w:rPr>
            </w:pPr>
            <w:r w:rsidRPr="00A64F77">
              <w:rPr>
                <w:rFonts w:cs="Calibri"/>
                <w:sz w:val="20"/>
                <w:szCs w:val="20"/>
              </w:rPr>
              <w:t>Description of the identified risks of reversals for the REDD+ intervention areas</w:t>
            </w:r>
          </w:p>
        </w:tc>
        <w:tc>
          <w:tcPr>
            <w:tcW w:w="6210" w:type="dxa"/>
          </w:tcPr>
          <w:p w14:paraId="494F00C3" w14:textId="77777777" w:rsidR="000F3DF0" w:rsidRPr="00A64F77" w:rsidRDefault="000F3DF0" w:rsidP="00036A7C">
            <w:pPr>
              <w:rPr>
                <w:sz w:val="20"/>
                <w:szCs w:val="20"/>
                <w:u w:val="single"/>
              </w:rPr>
            </w:pPr>
            <w:r w:rsidRPr="00A64F77">
              <w:rPr>
                <w:sz w:val="20"/>
                <w:szCs w:val="20"/>
                <w:u w:val="single"/>
              </w:rPr>
              <w:t>N/a</w:t>
            </w:r>
          </w:p>
          <w:p w14:paraId="76DD1D64" w14:textId="77777777" w:rsidR="000F3DF0" w:rsidRPr="00A64F77" w:rsidRDefault="000F3DF0" w:rsidP="00036A7C">
            <w:pPr>
              <w:rPr>
                <w:sz w:val="20"/>
                <w:szCs w:val="20"/>
                <w:u w:val="single"/>
              </w:rPr>
            </w:pPr>
          </w:p>
          <w:p w14:paraId="1BBD7C64" w14:textId="77777777" w:rsidR="000F3DF0" w:rsidRPr="00A64F77" w:rsidRDefault="000F3DF0" w:rsidP="00036A7C">
            <w:pPr>
              <w:rPr>
                <w:rFonts w:cs="Calibri"/>
                <w:b/>
                <w:sz w:val="20"/>
                <w:szCs w:val="20"/>
              </w:rPr>
            </w:pPr>
          </w:p>
        </w:tc>
      </w:tr>
      <w:tr w:rsidR="000F3DF0" w:rsidRPr="00853D7A" w14:paraId="34CA0637" w14:textId="77777777" w:rsidTr="00036A7C">
        <w:trPr>
          <w:trHeight w:val="2189"/>
        </w:trPr>
        <w:tc>
          <w:tcPr>
            <w:tcW w:w="1921" w:type="dxa"/>
            <w:vMerge/>
            <w:shd w:val="clear" w:color="auto" w:fill="auto"/>
          </w:tcPr>
          <w:p w14:paraId="442435DD" w14:textId="77777777" w:rsidR="000F3DF0" w:rsidRPr="002F3A03" w:rsidRDefault="000F3DF0" w:rsidP="00036A7C">
            <w:pPr>
              <w:rPr>
                <w:bCs/>
                <w:szCs w:val="22"/>
              </w:rPr>
            </w:pPr>
          </w:p>
        </w:tc>
        <w:tc>
          <w:tcPr>
            <w:tcW w:w="1922" w:type="dxa"/>
          </w:tcPr>
          <w:p w14:paraId="3C334869" w14:textId="77777777" w:rsidR="000F3DF0" w:rsidRPr="002F3A03" w:rsidRDefault="000F3DF0" w:rsidP="00036A7C">
            <w:pPr>
              <w:rPr>
                <w:rFonts w:cs="Calibri"/>
                <w:sz w:val="20"/>
                <w:szCs w:val="20"/>
              </w:rPr>
            </w:pPr>
            <w:r w:rsidRPr="002F3A03">
              <w:rPr>
                <w:rFonts w:cs="Calibri"/>
                <w:sz w:val="20"/>
                <w:szCs w:val="20"/>
              </w:rPr>
              <w:t xml:space="preserve">Measures to address the risks of reversals </w:t>
            </w:r>
          </w:p>
        </w:tc>
        <w:tc>
          <w:tcPr>
            <w:tcW w:w="4425" w:type="dxa"/>
          </w:tcPr>
          <w:p w14:paraId="166DB7EB" w14:textId="77777777" w:rsidR="000F3DF0" w:rsidRPr="002F3A03" w:rsidRDefault="000F3DF0" w:rsidP="00036A7C">
            <w:pPr>
              <w:rPr>
                <w:rFonts w:cs="Calibri"/>
                <w:sz w:val="20"/>
                <w:szCs w:val="20"/>
              </w:rPr>
            </w:pPr>
            <w:r w:rsidRPr="002F3A03">
              <w:rPr>
                <w:rFonts w:cs="Calibri"/>
                <w:sz w:val="20"/>
                <w:szCs w:val="20"/>
              </w:rPr>
              <w:t>Description of the proposed measures to address the risks of reversals</w:t>
            </w:r>
          </w:p>
        </w:tc>
        <w:tc>
          <w:tcPr>
            <w:tcW w:w="6210" w:type="dxa"/>
          </w:tcPr>
          <w:p w14:paraId="0A3568B3" w14:textId="77777777" w:rsidR="000F3DF0" w:rsidRPr="00A01268" w:rsidRDefault="000F3DF0" w:rsidP="00036A7C">
            <w:pPr>
              <w:rPr>
                <w:rFonts w:cs="Calibri"/>
                <w:b/>
                <w:sz w:val="20"/>
                <w:szCs w:val="20"/>
              </w:rPr>
            </w:pPr>
            <w:r w:rsidRPr="00A01268">
              <w:rPr>
                <w:rFonts w:cs="Calibri"/>
                <w:b/>
                <w:sz w:val="20"/>
                <w:szCs w:val="20"/>
              </w:rPr>
              <w:t xml:space="preserve">Qualitative </w:t>
            </w:r>
          </w:p>
          <w:p w14:paraId="3DFE4297" w14:textId="77777777" w:rsidR="000F3DF0" w:rsidRPr="00A01268" w:rsidRDefault="000F3DF0" w:rsidP="0039326F">
            <w:pPr>
              <w:pStyle w:val="ListParagraph"/>
              <w:numPr>
                <w:ilvl w:val="0"/>
                <w:numId w:val="45"/>
              </w:numPr>
              <w:rPr>
                <w:rFonts w:cstheme="minorHAnsi"/>
                <w:szCs w:val="20"/>
                <w:lang w:val="vi-VN"/>
              </w:rPr>
            </w:pPr>
            <w:r w:rsidRPr="00A01268">
              <w:rPr>
                <w:rFonts w:cstheme="minorHAnsi"/>
                <w:szCs w:val="20"/>
              </w:rPr>
              <w:t xml:space="preserve">Description of how measures to reduce the risk of reversals were implemented </w:t>
            </w:r>
          </w:p>
          <w:p w14:paraId="5E4D7119" w14:textId="77777777" w:rsidR="000F3DF0" w:rsidRPr="00A01268" w:rsidRDefault="000F3DF0" w:rsidP="00036A7C">
            <w:pPr>
              <w:rPr>
                <w:rFonts w:cs="Calibri"/>
                <w:sz w:val="20"/>
                <w:szCs w:val="20"/>
              </w:rPr>
            </w:pPr>
          </w:p>
          <w:p w14:paraId="5BF8A88B" w14:textId="77777777" w:rsidR="000F3DF0" w:rsidRPr="00A01268" w:rsidRDefault="000F3DF0" w:rsidP="00036A7C">
            <w:pPr>
              <w:rPr>
                <w:rFonts w:cs="Calibri"/>
                <w:b/>
                <w:sz w:val="20"/>
                <w:szCs w:val="20"/>
              </w:rPr>
            </w:pPr>
            <w:r w:rsidRPr="00A01268">
              <w:rPr>
                <w:rFonts w:cs="Calibri"/>
                <w:b/>
                <w:sz w:val="20"/>
                <w:szCs w:val="20"/>
              </w:rPr>
              <w:t>Quantitative</w:t>
            </w:r>
          </w:p>
          <w:p w14:paraId="6D66BBE1" w14:textId="77777777" w:rsidR="000F3DF0" w:rsidRDefault="000F3DF0" w:rsidP="0039326F">
            <w:pPr>
              <w:pStyle w:val="ListParagraph"/>
              <w:numPr>
                <w:ilvl w:val="0"/>
                <w:numId w:val="45"/>
              </w:numPr>
              <w:jc w:val="left"/>
              <w:rPr>
                <w:rFonts w:cs="Calibri"/>
                <w:szCs w:val="20"/>
              </w:rPr>
            </w:pPr>
            <w:r w:rsidRPr="00A01268">
              <w:rPr>
                <w:rFonts w:cs="Calibri"/>
                <w:szCs w:val="20"/>
              </w:rPr>
              <w:t>Evidence that REDD+ implementation has resulted in long-term/permanent emission reductions</w:t>
            </w:r>
            <w:r>
              <w:rPr>
                <w:rFonts w:cs="Calibri"/>
                <w:szCs w:val="20"/>
              </w:rPr>
              <w:t>:</w:t>
            </w:r>
          </w:p>
          <w:p w14:paraId="19428959" w14:textId="77777777" w:rsidR="000F3DF0" w:rsidRPr="00A01268" w:rsidRDefault="000F3DF0" w:rsidP="0039326F">
            <w:pPr>
              <w:pStyle w:val="ListParagraph"/>
              <w:numPr>
                <w:ilvl w:val="0"/>
                <w:numId w:val="46"/>
              </w:numPr>
              <w:jc w:val="left"/>
              <w:rPr>
                <w:rFonts w:cs="Calibri"/>
                <w:szCs w:val="20"/>
              </w:rPr>
            </w:pPr>
            <w:r>
              <w:rPr>
                <w:rFonts w:cs="Calibri"/>
                <w:szCs w:val="20"/>
              </w:rPr>
              <w:t>e</w:t>
            </w:r>
            <w:r w:rsidRPr="00A01268">
              <w:rPr>
                <w:rFonts w:cstheme="minorHAnsi"/>
                <w:szCs w:val="20"/>
                <w:lang w:val="vi-VN"/>
              </w:rPr>
              <w:t>mission reductions reduced/captured from REDD+ intervention implementation</w:t>
            </w:r>
          </w:p>
          <w:p w14:paraId="289BD04F" w14:textId="77777777" w:rsidR="000F3DF0" w:rsidRDefault="000F3DF0" w:rsidP="00036A7C">
            <w:pPr>
              <w:rPr>
                <w:rFonts w:cs="Calibri"/>
                <w:sz w:val="20"/>
                <w:szCs w:val="20"/>
              </w:rPr>
            </w:pPr>
          </w:p>
          <w:p w14:paraId="7C932A48" w14:textId="77777777" w:rsidR="000F3DF0" w:rsidRPr="002F3A03" w:rsidRDefault="000F3DF0" w:rsidP="00036A7C">
            <w:pPr>
              <w:rPr>
                <w:rFonts w:cs="Calibri"/>
                <w:sz w:val="20"/>
                <w:szCs w:val="20"/>
              </w:rPr>
            </w:pPr>
          </w:p>
        </w:tc>
      </w:tr>
      <w:tr w:rsidR="000F3DF0" w:rsidRPr="00853D7A" w14:paraId="35E45F38" w14:textId="77777777" w:rsidTr="00036A7C">
        <w:trPr>
          <w:trHeight w:val="702"/>
        </w:trPr>
        <w:tc>
          <w:tcPr>
            <w:tcW w:w="1921" w:type="dxa"/>
            <w:vMerge w:val="restart"/>
            <w:shd w:val="clear" w:color="auto" w:fill="auto"/>
          </w:tcPr>
          <w:p w14:paraId="455D41C6" w14:textId="77777777" w:rsidR="000F3DF0" w:rsidRPr="00DB598B" w:rsidRDefault="000F3DF0" w:rsidP="00036A7C">
            <w:pPr>
              <w:rPr>
                <w:rFonts w:cs="Calibri"/>
                <w:b/>
                <w:sz w:val="20"/>
                <w:szCs w:val="20"/>
              </w:rPr>
            </w:pPr>
            <w:r w:rsidRPr="00DB598B">
              <w:rPr>
                <w:sz w:val="20"/>
                <w:szCs w:val="20"/>
              </w:rPr>
              <w:t>Actions to reduce the displacement of emissions</w:t>
            </w:r>
          </w:p>
        </w:tc>
        <w:tc>
          <w:tcPr>
            <w:tcW w:w="1922" w:type="dxa"/>
          </w:tcPr>
          <w:p w14:paraId="25B121F2" w14:textId="77777777" w:rsidR="000F3DF0" w:rsidRPr="00DB598B" w:rsidDel="008E57C6" w:rsidRDefault="000F3DF0" w:rsidP="00036A7C">
            <w:pPr>
              <w:pStyle w:val="CommentText"/>
              <w:rPr>
                <w:rFonts w:ascii="Calibri" w:hAnsi="Calibri"/>
                <w:sz w:val="22"/>
                <w:szCs w:val="22"/>
              </w:rPr>
            </w:pPr>
            <w:r w:rsidRPr="00DB598B">
              <w:rPr>
                <w:rFonts w:ascii="Calibri" w:hAnsi="Calibri" w:cs="Calibri"/>
                <w:sz w:val="20"/>
                <w:szCs w:val="20"/>
              </w:rPr>
              <w:t>Identification of risks of displacement</w:t>
            </w:r>
          </w:p>
        </w:tc>
        <w:tc>
          <w:tcPr>
            <w:tcW w:w="4425" w:type="dxa"/>
          </w:tcPr>
          <w:p w14:paraId="177012AA" w14:textId="77777777" w:rsidR="000F3DF0" w:rsidRPr="00DB598B" w:rsidRDefault="000F3DF0" w:rsidP="00036A7C">
            <w:pPr>
              <w:rPr>
                <w:rFonts w:cs="Calibri"/>
                <w:b/>
                <w:sz w:val="20"/>
                <w:szCs w:val="20"/>
              </w:rPr>
            </w:pPr>
            <w:r w:rsidRPr="00DB598B">
              <w:rPr>
                <w:rFonts w:cs="Calibri"/>
                <w:sz w:val="20"/>
                <w:szCs w:val="20"/>
              </w:rPr>
              <w:t>Description of the identified risks of displacement for the REDD+ intervention areas</w:t>
            </w:r>
          </w:p>
        </w:tc>
        <w:tc>
          <w:tcPr>
            <w:tcW w:w="6210" w:type="dxa"/>
          </w:tcPr>
          <w:p w14:paraId="4188BDC1" w14:textId="77777777" w:rsidR="000F3DF0" w:rsidRPr="00A01268" w:rsidRDefault="000F3DF0" w:rsidP="00036A7C">
            <w:pPr>
              <w:rPr>
                <w:rFonts w:cs="Calibri"/>
                <w:sz w:val="20"/>
                <w:szCs w:val="20"/>
              </w:rPr>
            </w:pPr>
            <w:r w:rsidRPr="00A01268">
              <w:rPr>
                <w:rFonts w:cs="Calibri"/>
                <w:sz w:val="20"/>
                <w:szCs w:val="20"/>
              </w:rPr>
              <w:t>N/A</w:t>
            </w:r>
          </w:p>
        </w:tc>
      </w:tr>
      <w:tr w:rsidR="000F3DF0" w:rsidRPr="00853D7A" w14:paraId="6CF68D40" w14:textId="77777777" w:rsidTr="00036A7C">
        <w:trPr>
          <w:trHeight w:val="702"/>
        </w:trPr>
        <w:tc>
          <w:tcPr>
            <w:tcW w:w="1921" w:type="dxa"/>
            <w:vMerge/>
            <w:shd w:val="clear" w:color="auto" w:fill="auto"/>
          </w:tcPr>
          <w:p w14:paraId="1525B379" w14:textId="77777777" w:rsidR="000F3DF0" w:rsidRPr="00037A2F" w:rsidRDefault="000F3DF0" w:rsidP="00036A7C">
            <w:pPr>
              <w:rPr>
                <w:sz w:val="20"/>
                <w:szCs w:val="20"/>
              </w:rPr>
            </w:pPr>
          </w:p>
        </w:tc>
        <w:tc>
          <w:tcPr>
            <w:tcW w:w="1922" w:type="dxa"/>
          </w:tcPr>
          <w:p w14:paraId="6262F169" w14:textId="77777777" w:rsidR="000F3DF0" w:rsidRPr="00037A2F" w:rsidDel="008E57C6" w:rsidRDefault="000F3DF0" w:rsidP="00036A7C">
            <w:pPr>
              <w:rPr>
                <w:rFonts w:cs="Calibri"/>
                <w:sz w:val="20"/>
                <w:szCs w:val="20"/>
              </w:rPr>
            </w:pPr>
            <w:r w:rsidRPr="00037A2F">
              <w:rPr>
                <w:rFonts w:cs="Calibri"/>
                <w:sz w:val="20"/>
                <w:szCs w:val="20"/>
              </w:rPr>
              <w:t>Measures to address the risks of displacement</w:t>
            </w:r>
          </w:p>
        </w:tc>
        <w:tc>
          <w:tcPr>
            <w:tcW w:w="4425" w:type="dxa"/>
          </w:tcPr>
          <w:p w14:paraId="08D43BCA" w14:textId="77777777" w:rsidR="000F3DF0" w:rsidRPr="00037A2F" w:rsidDel="008E57C6" w:rsidRDefault="000F3DF0" w:rsidP="00036A7C">
            <w:pPr>
              <w:rPr>
                <w:rFonts w:cs="Calibri"/>
                <w:sz w:val="20"/>
                <w:szCs w:val="20"/>
              </w:rPr>
            </w:pPr>
            <w:r w:rsidRPr="00037A2F">
              <w:rPr>
                <w:rFonts w:cs="Calibri"/>
                <w:sz w:val="20"/>
                <w:szCs w:val="20"/>
              </w:rPr>
              <w:t>Description of the proposed measures to address the risks of displacement</w:t>
            </w:r>
          </w:p>
        </w:tc>
        <w:tc>
          <w:tcPr>
            <w:tcW w:w="6210" w:type="dxa"/>
          </w:tcPr>
          <w:p w14:paraId="51066469" w14:textId="77777777" w:rsidR="000F3DF0" w:rsidRDefault="000F3DF0" w:rsidP="00036A7C">
            <w:pPr>
              <w:rPr>
                <w:rFonts w:cs="Calibri"/>
                <w:sz w:val="20"/>
                <w:szCs w:val="20"/>
              </w:rPr>
            </w:pPr>
          </w:p>
          <w:p w14:paraId="7D46FA8A" w14:textId="77777777" w:rsidR="000F3DF0" w:rsidRPr="00A01268" w:rsidRDefault="000F3DF0" w:rsidP="00036A7C">
            <w:pPr>
              <w:rPr>
                <w:rFonts w:cs="Calibri"/>
                <w:b/>
                <w:sz w:val="20"/>
                <w:szCs w:val="20"/>
              </w:rPr>
            </w:pPr>
            <w:r w:rsidRPr="00A01268">
              <w:rPr>
                <w:rFonts w:cs="Calibri"/>
                <w:b/>
                <w:sz w:val="20"/>
                <w:szCs w:val="20"/>
              </w:rPr>
              <w:t xml:space="preserve">Qualitative </w:t>
            </w:r>
          </w:p>
          <w:p w14:paraId="27067DA4" w14:textId="77777777" w:rsidR="000F3DF0" w:rsidRPr="00A01268" w:rsidRDefault="000F3DF0" w:rsidP="0039326F">
            <w:pPr>
              <w:pStyle w:val="ListParagraph"/>
              <w:numPr>
                <w:ilvl w:val="0"/>
                <w:numId w:val="46"/>
              </w:numPr>
              <w:rPr>
                <w:rFonts w:cstheme="minorHAnsi"/>
                <w:szCs w:val="20"/>
                <w:lang w:val="vi-VN"/>
              </w:rPr>
            </w:pPr>
            <w:r w:rsidRPr="00A01268">
              <w:rPr>
                <w:rFonts w:cstheme="minorHAnsi"/>
                <w:szCs w:val="20"/>
              </w:rPr>
              <w:t xml:space="preserve">Description of how measures to reduce the risk of displacement were implemented  </w:t>
            </w:r>
          </w:p>
          <w:p w14:paraId="3F0EB9A5" w14:textId="77777777" w:rsidR="000F3DF0" w:rsidRDefault="000F3DF0" w:rsidP="00036A7C">
            <w:pPr>
              <w:rPr>
                <w:rFonts w:cs="Calibri"/>
                <w:sz w:val="20"/>
                <w:szCs w:val="20"/>
              </w:rPr>
            </w:pPr>
          </w:p>
          <w:p w14:paraId="32F4CA35" w14:textId="77777777" w:rsidR="000F3DF0" w:rsidRPr="00A01268" w:rsidRDefault="000F3DF0" w:rsidP="00036A7C">
            <w:pPr>
              <w:rPr>
                <w:rFonts w:cs="Calibri"/>
                <w:b/>
                <w:sz w:val="20"/>
                <w:szCs w:val="20"/>
              </w:rPr>
            </w:pPr>
            <w:r w:rsidRPr="00A01268">
              <w:rPr>
                <w:rFonts w:cs="Calibri"/>
                <w:b/>
                <w:sz w:val="20"/>
                <w:szCs w:val="20"/>
              </w:rPr>
              <w:t xml:space="preserve">Quantitative </w:t>
            </w:r>
          </w:p>
          <w:p w14:paraId="73FE0FDE" w14:textId="77777777" w:rsidR="000F3DF0" w:rsidRDefault="000F3DF0" w:rsidP="00036A7C">
            <w:pPr>
              <w:rPr>
                <w:rFonts w:cs="Calibri"/>
                <w:sz w:val="20"/>
                <w:szCs w:val="20"/>
              </w:rPr>
            </w:pPr>
          </w:p>
          <w:p w14:paraId="74B3B5D3" w14:textId="77777777" w:rsidR="000F3DF0" w:rsidRDefault="000F3DF0" w:rsidP="0039326F">
            <w:pPr>
              <w:pStyle w:val="ListParagraph"/>
              <w:numPr>
                <w:ilvl w:val="0"/>
                <w:numId w:val="45"/>
              </w:numPr>
              <w:jc w:val="left"/>
              <w:rPr>
                <w:rFonts w:cs="Calibri"/>
                <w:szCs w:val="20"/>
              </w:rPr>
            </w:pPr>
            <w:r w:rsidRPr="00A01268">
              <w:rPr>
                <w:rFonts w:cs="Calibri"/>
                <w:szCs w:val="20"/>
              </w:rPr>
              <w:t>Evidence that REDD+ implementation has not resulted in increased emissions/deforestation in neighboring areas (thus displacing them)</w:t>
            </w:r>
            <w:r>
              <w:rPr>
                <w:rFonts w:cs="Calibri"/>
                <w:szCs w:val="20"/>
              </w:rPr>
              <w:t>:</w:t>
            </w:r>
          </w:p>
          <w:p w14:paraId="2D535B5C" w14:textId="77777777" w:rsidR="000F3DF0" w:rsidRPr="00A01268" w:rsidRDefault="000F3DF0" w:rsidP="0039326F">
            <w:pPr>
              <w:pStyle w:val="ListParagraph"/>
              <w:numPr>
                <w:ilvl w:val="0"/>
                <w:numId w:val="46"/>
              </w:numPr>
              <w:jc w:val="left"/>
              <w:rPr>
                <w:rFonts w:cs="Calibri"/>
                <w:szCs w:val="20"/>
              </w:rPr>
            </w:pPr>
            <w:r w:rsidRPr="00A01268">
              <w:rPr>
                <w:rFonts w:cstheme="minorHAnsi"/>
                <w:szCs w:val="20"/>
              </w:rPr>
              <w:t>r</w:t>
            </w:r>
            <w:r w:rsidRPr="00A01268">
              <w:rPr>
                <w:rFonts w:cstheme="minorHAnsi"/>
                <w:szCs w:val="20"/>
                <w:lang w:val="vi-VN"/>
              </w:rPr>
              <w:t xml:space="preserve">ates of deforestation in neighbouring areas before and after the </w:t>
            </w:r>
            <w:r w:rsidRPr="00A01268">
              <w:rPr>
                <w:rFonts w:cstheme="minorHAnsi"/>
                <w:szCs w:val="20"/>
              </w:rPr>
              <w:t>REDD+ intervention</w:t>
            </w:r>
            <w:r w:rsidRPr="00A01268">
              <w:rPr>
                <w:rFonts w:cstheme="minorHAnsi"/>
                <w:szCs w:val="20"/>
                <w:lang w:val="vi-VN"/>
              </w:rPr>
              <w:t xml:space="preserve"> implementation </w:t>
            </w:r>
          </w:p>
          <w:p w14:paraId="71E4AE10" w14:textId="77777777" w:rsidR="000F3DF0" w:rsidRPr="00A01268" w:rsidDel="008E57C6" w:rsidRDefault="000F3DF0" w:rsidP="00036A7C">
            <w:pPr>
              <w:rPr>
                <w:rFonts w:cs="Calibri"/>
                <w:sz w:val="20"/>
                <w:szCs w:val="20"/>
                <w:lang w:val="vi-VN"/>
              </w:rPr>
            </w:pPr>
          </w:p>
        </w:tc>
      </w:tr>
    </w:tbl>
    <w:p w14:paraId="4995D0C0" w14:textId="77777777" w:rsidR="000F3DF0" w:rsidRPr="00DB598B" w:rsidRDefault="000F3DF0" w:rsidP="000F3DF0"/>
    <w:p w14:paraId="09E8C727" w14:textId="77777777" w:rsidR="00B21046" w:rsidRDefault="00B21046" w:rsidP="004C06CC"/>
    <w:p w14:paraId="3BD0B2B8" w14:textId="77777777" w:rsidR="00630EA9" w:rsidRDefault="00630EA9" w:rsidP="00630EA9"/>
    <w:p w14:paraId="30CA4C49" w14:textId="77777777" w:rsidR="00E20CCB" w:rsidRDefault="00E20CCB" w:rsidP="00E20CCB">
      <w:pPr>
        <w:rPr>
          <w:rFonts w:asciiTheme="majorHAnsi" w:hAnsiTheme="majorHAnsi"/>
          <w:color w:val="2F5496" w:themeColor="accent1" w:themeShade="BF"/>
          <w:sz w:val="32"/>
          <w:szCs w:val="32"/>
        </w:rPr>
        <w:sectPr w:rsidR="00E20CCB" w:rsidSect="000F3DF0">
          <w:pgSz w:w="16840" w:h="11900" w:orient="landscape"/>
          <w:pgMar w:top="1440" w:right="1440" w:bottom="1440" w:left="1440" w:header="720" w:footer="720" w:gutter="0"/>
          <w:cols w:space="720"/>
          <w:docGrid w:linePitch="360"/>
        </w:sectPr>
      </w:pPr>
    </w:p>
    <w:p w14:paraId="506523F2" w14:textId="203F2063" w:rsidR="00630EA9" w:rsidRPr="0007733E" w:rsidRDefault="00996BF0" w:rsidP="009625CE">
      <w:pPr>
        <w:pStyle w:val="Heading1"/>
      </w:pPr>
      <w:bookmarkStart w:id="30" w:name="_Toc523385944"/>
      <w:r w:rsidRPr="00065892">
        <w:lastRenderedPageBreak/>
        <w:t xml:space="preserve">Part VI: </w:t>
      </w:r>
      <w:r w:rsidR="00630EA9" w:rsidRPr="009A3D42">
        <w:t>Complementary information</w:t>
      </w:r>
      <w:bookmarkEnd w:id="30"/>
    </w:p>
    <w:p w14:paraId="5320D25B" w14:textId="77777777" w:rsidR="00630EA9" w:rsidRDefault="00630EA9" w:rsidP="00630EA9"/>
    <w:p w14:paraId="1E14EC98" w14:textId="77777777" w:rsidR="004C06CC" w:rsidRDefault="004C06CC" w:rsidP="004C06CC"/>
    <w:p w14:paraId="2D32C5ED" w14:textId="1FEB1D96" w:rsidR="00630EA9" w:rsidRPr="00C21316" w:rsidRDefault="00630EA9" w:rsidP="00C21316">
      <w:pPr>
        <w:pStyle w:val="Heading2"/>
        <w:rPr>
          <w:highlight w:val="yellow"/>
        </w:rPr>
      </w:pPr>
      <w:r w:rsidRPr="00C21316">
        <w:rPr>
          <w:highlight w:val="yellow"/>
        </w:rPr>
        <w:t xml:space="preserve">Process followed for preparing the summary of information </w:t>
      </w:r>
    </w:p>
    <w:p w14:paraId="1B79F491" w14:textId="77777777" w:rsidR="004C06CC" w:rsidRPr="00C21316" w:rsidRDefault="004C06CC" w:rsidP="000F504A">
      <w:pPr>
        <w:rPr>
          <w:highlight w:val="yellow"/>
        </w:rPr>
      </w:pPr>
    </w:p>
    <w:p w14:paraId="15432C49" w14:textId="4F1AC03C" w:rsidR="004C06CC" w:rsidRDefault="00120A51" w:rsidP="000F504A">
      <w:pPr>
        <w:rPr>
          <w:highlight w:val="yellow"/>
        </w:rPr>
      </w:pPr>
      <w:r w:rsidRPr="00C21316">
        <w:rPr>
          <w:highlight w:val="yellow"/>
        </w:rPr>
        <w:t>To be completed once Government reviews and outlines consultation process</w:t>
      </w:r>
      <w:r w:rsidR="00037A2F">
        <w:rPr>
          <w:highlight w:val="yellow"/>
        </w:rPr>
        <w:t xml:space="preserve"> from this draft to final publication and submission </w:t>
      </w:r>
    </w:p>
    <w:p w14:paraId="504DAD37" w14:textId="77777777" w:rsidR="00037A2F" w:rsidRDefault="00037A2F" w:rsidP="000F504A"/>
    <w:p w14:paraId="12C484D8" w14:textId="78DB283C" w:rsidR="004C06CC" w:rsidRDefault="004C06CC" w:rsidP="000F504A"/>
    <w:p w14:paraId="0AA3706C" w14:textId="43F62FB6" w:rsidR="00037A2F" w:rsidRDefault="00037A2F" w:rsidP="00037A2F">
      <w:pPr>
        <w:pStyle w:val="Heading2"/>
      </w:pPr>
      <w:r>
        <w:rPr>
          <w:highlight w:val="yellow"/>
        </w:rPr>
        <w:t>A</w:t>
      </w:r>
      <w:r w:rsidRPr="00037A2F">
        <w:rPr>
          <w:highlight w:val="yellow"/>
        </w:rPr>
        <w:t>dditional information</w:t>
      </w:r>
      <w:r>
        <w:t xml:space="preserve"> </w:t>
      </w:r>
    </w:p>
    <w:p w14:paraId="5691302F" w14:textId="1AF25777" w:rsidR="00037A2F" w:rsidRDefault="00037A2F" w:rsidP="00037A2F"/>
    <w:p w14:paraId="5E122248" w14:textId="611D8909" w:rsidR="00037A2F" w:rsidRPr="00037A2F" w:rsidRDefault="00037A2F" w:rsidP="00037A2F">
      <w:r w:rsidRPr="003837CB">
        <w:rPr>
          <w:highlight w:val="yellow"/>
        </w:rPr>
        <w:t xml:space="preserve">Any additional relevant information FC would like to add to </w:t>
      </w:r>
      <w:r w:rsidR="003837CB" w:rsidRPr="003837CB">
        <w:rPr>
          <w:highlight w:val="yellow"/>
        </w:rPr>
        <w:t>SoI can be included in this section</w:t>
      </w:r>
    </w:p>
    <w:p w14:paraId="0C88135E" w14:textId="77777777" w:rsidR="00037A2F" w:rsidRPr="00037A2F" w:rsidRDefault="00037A2F" w:rsidP="00037A2F"/>
    <w:p w14:paraId="48B69924" w14:textId="77777777" w:rsidR="000F504A" w:rsidRDefault="000F504A" w:rsidP="000F504A"/>
    <w:p w14:paraId="34D95284" w14:textId="719A1459" w:rsidR="00847229" w:rsidRDefault="00847229" w:rsidP="000F504A">
      <w:pPr>
        <w:pStyle w:val="ListParagraph"/>
      </w:pPr>
    </w:p>
    <w:sectPr w:rsidR="00847229" w:rsidSect="00847229">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Ugo Ribet" w:date="2018-09-14T15:56:00Z" w:initials="UR">
    <w:p w14:paraId="1D5609B2" w14:textId="77777777" w:rsidR="009A629F" w:rsidRPr="00D75DCF" w:rsidRDefault="009A629F" w:rsidP="004D1524">
      <w:pPr>
        <w:pStyle w:val="CommentText"/>
        <w:rPr>
          <w:strike/>
        </w:rPr>
      </w:pPr>
      <w:r>
        <w:rPr>
          <w:rStyle w:val="CommentReference"/>
        </w:rPr>
        <w:annotationRef/>
      </w:r>
      <w:r w:rsidRPr="00D75DCF">
        <w:rPr>
          <w:strike/>
        </w:rPr>
        <w:t xml:space="preserve">REUBEN: 2 references missing, would be great if someone could find them? </w:t>
      </w:r>
    </w:p>
  </w:comment>
  <w:comment w:id="14" w:author="Ugo Ribet" w:date="2019-03-11T09:54:00Z" w:initials="UR">
    <w:p w14:paraId="4F5D2FB6" w14:textId="11AD511C" w:rsidR="009A629F" w:rsidRDefault="009A629F">
      <w:pPr>
        <w:pStyle w:val="CommentText"/>
      </w:pPr>
      <w:r>
        <w:rPr>
          <w:rStyle w:val="CommentReference"/>
        </w:rPr>
        <w:annotationRef/>
      </w:r>
      <w:r>
        <w:t xml:space="preserve">FC to include information on GRM when its ready </w:t>
      </w:r>
    </w:p>
  </w:comment>
  <w:comment w:id="17" w:author="Hilma Manan" w:date="2018-10-30T16:15:00Z" w:initials="HM">
    <w:p w14:paraId="07FC3FFC" w14:textId="1657E75F" w:rsidR="009A629F" w:rsidRDefault="009A629F">
      <w:pPr>
        <w:pStyle w:val="CommentText"/>
      </w:pPr>
      <w:r>
        <w:rPr>
          <w:rStyle w:val="CommentReference"/>
        </w:rPr>
        <w:annotationRef/>
      </w:r>
      <w:r>
        <w:t xml:space="preserve">Ghana has a forest definition. Kindly amend </w:t>
      </w:r>
    </w:p>
  </w:comment>
  <w:comment w:id="18" w:author="Microsoft Office User" w:date="2019-03-11T09:12:00Z" w:initials="MOU">
    <w:p w14:paraId="26226D0F" w14:textId="77777777" w:rsidR="009A629F" w:rsidRPr="00037A2F" w:rsidRDefault="009A629F">
      <w:pPr>
        <w:pStyle w:val="CommentText"/>
        <w:rPr>
          <w:highlight w:val="yellow"/>
        </w:rPr>
      </w:pPr>
      <w:r>
        <w:rPr>
          <w:rStyle w:val="CommentReference"/>
        </w:rPr>
        <w:annotationRef/>
      </w:r>
      <w:r w:rsidRPr="00037A2F">
        <w:rPr>
          <w:highlight w:val="yellow"/>
        </w:rPr>
        <w:t xml:space="preserve">REUBEN/EVANS, can you please help with this?  This was based on the legal analisis, but if they made a mistake or Hilma is referring to something specific, could you please help find out? </w:t>
      </w:r>
    </w:p>
    <w:p w14:paraId="31DAFA44" w14:textId="3F786361" w:rsidR="009A629F" w:rsidRDefault="009A629F">
      <w:pPr>
        <w:pStyle w:val="CommentText"/>
      </w:pPr>
      <w:r w:rsidRPr="00037A2F">
        <w:rPr>
          <w:highlight w:val="yellow"/>
        </w:rPr>
        <w:t>Thanks</w:t>
      </w:r>
    </w:p>
  </w:comment>
  <w:comment w:id="19" w:author="Evans Mensah" w:date="2019-03-25T10:49:00Z" w:initials="EM">
    <w:p w14:paraId="3A987F11" w14:textId="520686DB" w:rsidR="009A629F" w:rsidRPr="00982DDC" w:rsidRDefault="009A629F">
      <w:pPr>
        <w:pStyle w:val="CommentText"/>
      </w:pPr>
      <w:r>
        <w:rPr>
          <w:rStyle w:val="CommentReference"/>
        </w:rPr>
        <w:annotationRef/>
      </w:r>
      <w:r>
        <w:rPr>
          <w:noProof/>
        </w:rPr>
        <w:t xml:space="preserve">from the legal analysis conducted, there is no statutory definition for natural forest in Ghana. However, Ghana is working with the definition in the </w:t>
      </w:r>
      <w:r w:rsidRPr="00982DDC">
        <w:rPr>
          <w:rFonts w:ascii="Verdana" w:hAnsi="Verdana"/>
          <w:sz w:val="18"/>
          <w:szCs w:val="18"/>
          <w:lang w:val="en-US"/>
        </w:rPr>
        <w:t>FAO global forest resources assessment 2015</w:t>
      </w:r>
      <w:r>
        <w:rPr>
          <w:rFonts w:ascii="Verdana" w:hAnsi="Verdana"/>
          <w:noProof/>
          <w:sz w:val="18"/>
          <w:szCs w:val="18"/>
          <w:lang w:val="en-US"/>
        </w:rPr>
        <w:t xml:space="preserve"> on natural forest</w:t>
      </w:r>
      <w:r w:rsidRPr="00982DDC">
        <w:rPr>
          <w:rFonts w:ascii="Verdana" w:hAnsi="Verdana"/>
          <w:sz w:val="18"/>
          <w:szCs w:val="18"/>
          <w:lang w:val="en-US"/>
        </w:rPr>
        <w:t>.</w:t>
      </w:r>
    </w:p>
  </w:comment>
  <w:comment w:id="21" w:author="Ugo Ribet" w:date="2018-09-14T18:49:00Z" w:initials="UR">
    <w:p w14:paraId="1B4AC309" w14:textId="4327504D" w:rsidR="009A629F" w:rsidRDefault="009A629F">
      <w:pPr>
        <w:pStyle w:val="CommentText"/>
      </w:pPr>
      <w:r>
        <w:rPr>
          <w:rStyle w:val="CommentReference"/>
        </w:rPr>
        <w:annotationRef/>
      </w:r>
      <w:r>
        <w:t xml:space="preserve">Once FC is happy with SIS design document, add summary of SIS structre and SIS web plateform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5609B2" w15:done="0"/>
  <w15:commentEx w15:paraId="4F5D2FB6" w15:done="0"/>
  <w15:commentEx w15:paraId="07FC3FFC" w15:done="0"/>
  <w15:commentEx w15:paraId="31DAFA44" w15:paraIdParent="07FC3FFC" w15:done="0"/>
  <w15:commentEx w15:paraId="3A987F11" w15:paraIdParent="07FC3FFC" w15:done="0"/>
  <w15:commentEx w15:paraId="1B4AC3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609B2" w16cid:durableId="1F4658B3"/>
  <w16cid:commentId w16cid:paraId="4F5D2FB6" w16cid:durableId="2030AEC9"/>
  <w16cid:commentId w16cid:paraId="07FC3FFC" w16cid:durableId="2030A454"/>
  <w16cid:commentId w16cid:paraId="31DAFA44" w16cid:durableId="2030A4F0"/>
  <w16cid:commentId w16cid:paraId="1B4AC309" w16cid:durableId="1F4681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45630" w14:textId="77777777" w:rsidR="0004051C" w:rsidRDefault="0004051C" w:rsidP="00630EA9">
      <w:r>
        <w:separator/>
      </w:r>
    </w:p>
  </w:endnote>
  <w:endnote w:type="continuationSeparator" w:id="0">
    <w:p w14:paraId="291A1667" w14:textId="77777777" w:rsidR="0004051C" w:rsidRDefault="0004051C" w:rsidP="0063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NeueLTCom-Lt">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auto"/>
    <w:pitch w:val="variable"/>
    <w:sig w:usb0="E00002FF" w:usb1="5000205A" w:usb2="00000000" w:usb3="00000000" w:csb0="0000019F" w:csb1="00000000"/>
  </w:font>
  <w:font w:name="Helvetica">
    <w:panose1 w:val="020B05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6832793"/>
      <w:docPartObj>
        <w:docPartGallery w:val="Page Numbers (Bottom of Page)"/>
        <w:docPartUnique/>
      </w:docPartObj>
    </w:sdtPr>
    <w:sdtEndPr>
      <w:rPr>
        <w:rStyle w:val="PageNumber"/>
      </w:rPr>
    </w:sdtEndPr>
    <w:sdtContent>
      <w:p w14:paraId="1382B9B8" w14:textId="521C9F02" w:rsidR="009A629F" w:rsidRDefault="009A629F" w:rsidP="009A3D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B70CA" w14:textId="77777777" w:rsidR="009A629F" w:rsidRDefault="009A629F" w:rsidP="00C213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26670671"/>
      <w:docPartObj>
        <w:docPartGallery w:val="Page Numbers (Bottom of Page)"/>
        <w:docPartUnique/>
      </w:docPartObj>
    </w:sdtPr>
    <w:sdtEndPr>
      <w:rPr>
        <w:rStyle w:val="PageNumber"/>
      </w:rPr>
    </w:sdtEndPr>
    <w:sdtContent>
      <w:p w14:paraId="688AE726" w14:textId="663EE7EB" w:rsidR="009A629F" w:rsidRDefault="009A629F" w:rsidP="009A3D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32EA">
          <w:rPr>
            <w:rStyle w:val="PageNumber"/>
            <w:noProof/>
          </w:rPr>
          <w:t>2</w:t>
        </w:r>
        <w:r>
          <w:rPr>
            <w:rStyle w:val="PageNumber"/>
          </w:rPr>
          <w:fldChar w:fldCharType="end"/>
        </w:r>
      </w:p>
    </w:sdtContent>
  </w:sdt>
  <w:p w14:paraId="7451287B" w14:textId="77777777" w:rsidR="009A629F" w:rsidRDefault="009A629F" w:rsidP="00C213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3BB0C" w14:textId="77777777" w:rsidR="0004051C" w:rsidRDefault="0004051C" w:rsidP="00630EA9">
      <w:r>
        <w:separator/>
      </w:r>
    </w:p>
  </w:footnote>
  <w:footnote w:type="continuationSeparator" w:id="0">
    <w:p w14:paraId="3E3331A3" w14:textId="77777777" w:rsidR="0004051C" w:rsidRDefault="0004051C" w:rsidP="00630EA9">
      <w:r>
        <w:continuationSeparator/>
      </w:r>
    </w:p>
  </w:footnote>
  <w:footnote w:id="1">
    <w:p w14:paraId="45E43770" w14:textId="77777777" w:rsidR="009A629F" w:rsidRPr="00CA2FC3" w:rsidRDefault="009A629F" w:rsidP="00165683">
      <w:pPr>
        <w:pStyle w:val="FootnoteText"/>
        <w:rPr>
          <w:szCs w:val="16"/>
        </w:rPr>
      </w:pPr>
      <w:r w:rsidRPr="00CA2FC3">
        <w:rPr>
          <w:rStyle w:val="FootnoteReference"/>
          <w:szCs w:val="16"/>
        </w:rPr>
        <w:footnoteRef/>
      </w:r>
      <w:r w:rsidRPr="00CA2FC3">
        <w:rPr>
          <w:szCs w:val="16"/>
        </w:rPr>
        <w:t xml:space="preserve"> Decision 1/CP.16, Appendix I, par. 2. Details the 7 safeguards.  </w:t>
      </w:r>
    </w:p>
  </w:footnote>
  <w:footnote w:id="2">
    <w:p w14:paraId="468ED1FF" w14:textId="77777777" w:rsidR="009A629F" w:rsidRPr="00343881" w:rsidRDefault="009A629F" w:rsidP="007A080B">
      <w:pPr>
        <w:pStyle w:val="FootnoteText"/>
        <w:rPr>
          <w:szCs w:val="16"/>
          <w:lang w:val="es-ES"/>
        </w:rPr>
      </w:pPr>
      <w:r w:rsidRPr="008A5FDB">
        <w:rPr>
          <w:rStyle w:val="FootnoteReference"/>
          <w:szCs w:val="16"/>
        </w:rPr>
        <w:footnoteRef/>
      </w:r>
      <w:r w:rsidRPr="008A5FDB">
        <w:rPr>
          <w:szCs w:val="16"/>
        </w:rPr>
        <w:t xml:space="preserve"> GoG, 2010. Readiness Preparation Proposal Ghana: Revised Ghana R-PP. </w:t>
      </w:r>
      <w:r w:rsidRPr="00343881">
        <w:rPr>
          <w:szCs w:val="16"/>
          <w:lang w:val="es-ES"/>
        </w:rPr>
        <w:t>Accra, Ghana. https://forestcarbonpartnership.org/sites/forestcarbonpartnership.org/files/Documents/PDF/Jan2011/Revised_Ghana_RPP_2_Dec-2010.pdf</w:t>
      </w:r>
    </w:p>
  </w:footnote>
  <w:footnote w:id="3">
    <w:p w14:paraId="701B0258" w14:textId="77777777" w:rsidR="009A629F" w:rsidRPr="008A5FDB" w:rsidRDefault="009A629F" w:rsidP="007A080B">
      <w:pPr>
        <w:pStyle w:val="FootnoteText"/>
        <w:rPr>
          <w:szCs w:val="16"/>
        </w:rPr>
      </w:pPr>
      <w:r w:rsidRPr="008A5FDB">
        <w:rPr>
          <w:rStyle w:val="FootnoteReference"/>
          <w:szCs w:val="16"/>
        </w:rPr>
        <w:footnoteRef/>
      </w:r>
      <w:r w:rsidRPr="008A5FDB">
        <w:rPr>
          <w:szCs w:val="16"/>
        </w:rPr>
        <w:t xml:space="preserve"> Agricultural expansion (50%) was also identified as being predominantly attributed to cocoa cultivation systems, and thus distinguishes cocoa farming as one of the most significant drivers of deforestation across the high forest zone of the country</w:t>
      </w:r>
      <w:r w:rsidRPr="00CA2FC3">
        <w:rPr>
          <w:szCs w:val="16"/>
        </w:rPr>
        <w:t>. See next footnote.</w:t>
      </w:r>
    </w:p>
  </w:footnote>
  <w:footnote w:id="4">
    <w:p w14:paraId="5735DA96" w14:textId="77777777" w:rsidR="009A629F" w:rsidRPr="0075455D" w:rsidRDefault="009A629F" w:rsidP="007A080B">
      <w:pPr>
        <w:pStyle w:val="FootnoteText"/>
        <w:rPr>
          <w:szCs w:val="16"/>
        </w:rPr>
      </w:pPr>
      <w:r w:rsidRPr="008A5FDB">
        <w:rPr>
          <w:rStyle w:val="FootnoteReference"/>
          <w:szCs w:val="16"/>
        </w:rPr>
        <w:footnoteRef/>
      </w:r>
      <w:r w:rsidRPr="008A5FDB">
        <w:rPr>
          <w:szCs w:val="16"/>
        </w:rPr>
        <w:t xml:space="preserve"> </w:t>
      </w:r>
      <w:bookmarkStart w:id="4" w:name="_Hlk522135735"/>
      <w:r w:rsidRPr="008A5FDB">
        <w:rPr>
          <w:szCs w:val="16"/>
        </w:rPr>
        <w:t>Forest Carbon Partnership Fund, Emission Reduction Programme Documen</w:t>
      </w:r>
      <w:r w:rsidRPr="0075455D">
        <w:rPr>
          <w:szCs w:val="16"/>
        </w:rPr>
        <w:t>t, Ghana Cocoa REDD+ Programme, April 2017.</w:t>
      </w:r>
      <w:bookmarkEnd w:id="4"/>
    </w:p>
  </w:footnote>
  <w:footnote w:id="5">
    <w:p w14:paraId="480F86A1" w14:textId="77777777" w:rsidR="009A629F" w:rsidRPr="008A5FDB" w:rsidRDefault="009A629F" w:rsidP="007A080B">
      <w:pPr>
        <w:pStyle w:val="FootnoteText"/>
        <w:rPr>
          <w:szCs w:val="16"/>
        </w:rPr>
      </w:pPr>
      <w:r w:rsidRPr="008A5FDB">
        <w:rPr>
          <w:rStyle w:val="FootnoteReference"/>
          <w:szCs w:val="16"/>
        </w:rPr>
        <w:footnoteRef/>
      </w:r>
      <w:r w:rsidRPr="008A5FDB">
        <w:rPr>
          <w:szCs w:val="16"/>
        </w:rPr>
        <w:t xml:space="preserve"> https://www.fcghana.org/userfiles/files/REDD+/Ghana%20REDD+%20Strategy.pdf</w:t>
      </w:r>
    </w:p>
  </w:footnote>
  <w:footnote w:id="6">
    <w:p w14:paraId="16ACBC09" w14:textId="77777777" w:rsidR="009A629F" w:rsidRPr="0075455D" w:rsidRDefault="009A629F" w:rsidP="007A080B">
      <w:pPr>
        <w:pStyle w:val="FootnoteText"/>
        <w:rPr>
          <w:szCs w:val="16"/>
        </w:rPr>
      </w:pPr>
      <w:r w:rsidRPr="008A5FDB">
        <w:rPr>
          <w:rStyle w:val="FootnoteReference"/>
          <w:szCs w:val="16"/>
        </w:rPr>
        <w:footnoteRef/>
      </w:r>
      <w:r w:rsidRPr="008A5FDB">
        <w:rPr>
          <w:szCs w:val="16"/>
        </w:rPr>
        <w:t xml:space="preserve"> https://unredd.net/documents/un-redd-partner-countries-181/africa-335/ghana-1330/studies-and-publications-1350/16577-info-brief-ghana-redd-strategy.html</w:t>
      </w:r>
    </w:p>
  </w:footnote>
  <w:footnote w:id="7">
    <w:p w14:paraId="7BB66E2C" w14:textId="77777777" w:rsidR="009A629F" w:rsidRPr="0075455D" w:rsidRDefault="009A629F" w:rsidP="007A080B">
      <w:pPr>
        <w:pStyle w:val="FootnoteText"/>
        <w:rPr>
          <w:szCs w:val="16"/>
        </w:rPr>
      </w:pPr>
      <w:r w:rsidRPr="008A5FDB">
        <w:rPr>
          <w:rStyle w:val="FootnoteReference"/>
          <w:szCs w:val="16"/>
        </w:rPr>
        <w:footnoteRef/>
      </w:r>
      <w:r w:rsidRPr="008A5FDB">
        <w:rPr>
          <w:szCs w:val="16"/>
        </w:rPr>
        <w:t xml:space="preserve"> Ghana National REDD+ Strategy. https://www.fcghana.org/userfiles/files/REDD+/Ghana%20REDD+%20Strategy.pdf</w:t>
      </w:r>
    </w:p>
  </w:footnote>
  <w:footnote w:id="8">
    <w:p w14:paraId="20AD8413" w14:textId="77777777" w:rsidR="009A629F" w:rsidRPr="008A5FDB" w:rsidRDefault="009A629F" w:rsidP="007A080B">
      <w:pPr>
        <w:pStyle w:val="FootnoteText"/>
        <w:rPr>
          <w:szCs w:val="16"/>
        </w:rPr>
      </w:pPr>
      <w:r w:rsidRPr="008A5FDB">
        <w:rPr>
          <w:rStyle w:val="FootnoteReference"/>
          <w:szCs w:val="16"/>
        </w:rPr>
        <w:footnoteRef/>
      </w:r>
      <w:r w:rsidRPr="008A5FDB">
        <w:rPr>
          <w:szCs w:val="16"/>
        </w:rPr>
        <w:t xml:space="preserve"> See GNRS and Info-brief, ibid. </w:t>
      </w:r>
    </w:p>
  </w:footnote>
  <w:footnote w:id="9">
    <w:p w14:paraId="684A2992" w14:textId="77777777" w:rsidR="009A629F" w:rsidRDefault="009A629F" w:rsidP="00D054F4">
      <w:pPr>
        <w:pStyle w:val="FootnoteText"/>
      </w:pPr>
      <w:r>
        <w:rPr>
          <w:rStyle w:val="FootnoteReference"/>
        </w:rPr>
        <w:footnoteRef/>
      </w:r>
      <w:r>
        <w:t xml:space="preserve"> </w:t>
      </w:r>
      <w:r w:rsidRPr="000D42EE">
        <w:t>www.forestcarbonpartnership.org/sites/fcp/files/2015/Ap ril/Ghana%20National%20REDD%2B%20Strategy%20Final. pdf</w:t>
      </w:r>
      <w:r>
        <w:t xml:space="preserve"> </w:t>
      </w:r>
    </w:p>
  </w:footnote>
  <w:footnote w:id="10">
    <w:p w14:paraId="0029AD12" w14:textId="77777777" w:rsidR="009A629F" w:rsidRDefault="009A629F" w:rsidP="00D054F4">
      <w:pPr>
        <w:pStyle w:val="FootnoteText"/>
      </w:pPr>
      <w:r>
        <w:rPr>
          <w:rStyle w:val="FootnoteReference"/>
        </w:rPr>
        <w:footnoteRef/>
      </w:r>
      <w:r>
        <w:t xml:space="preserve"> See ERPD above. </w:t>
      </w:r>
    </w:p>
  </w:footnote>
  <w:footnote w:id="11">
    <w:p w14:paraId="59E135A6" w14:textId="77777777" w:rsidR="009A629F" w:rsidRDefault="009A629F" w:rsidP="00D054F4">
      <w:pPr>
        <w:pStyle w:val="FootnoteText"/>
      </w:pPr>
      <w:r>
        <w:rPr>
          <w:rStyle w:val="FootnoteReference"/>
        </w:rPr>
        <w:footnoteRef/>
      </w:r>
      <w:r>
        <w:t xml:space="preserve"> See ERPD Pp 7-10 and 36-41.</w:t>
      </w:r>
    </w:p>
  </w:footnote>
  <w:footnote w:id="12">
    <w:p w14:paraId="401DCDAE" w14:textId="67298D9C" w:rsidR="009A629F" w:rsidRDefault="009A629F">
      <w:pPr>
        <w:pStyle w:val="FootnoteText"/>
      </w:pPr>
      <w:r>
        <w:rPr>
          <w:rStyle w:val="FootnoteReference"/>
        </w:rPr>
        <w:footnoteRef/>
      </w:r>
      <w:r>
        <w:t xml:space="preserve"> Ghana REDD+ Stratagy 2016, </w:t>
      </w:r>
      <w:hyperlink r:id="rId1" w:history="1">
        <w:r w:rsidRPr="0023277B">
          <w:rPr>
            <w:rStyle w:val="Hyperlink"/>
          </w:rPr>
          <w:t>https://www.fcghana.org/userfiles/files/REDD%2B/Ghana%20REDD%2B%20Strategy.pdf</w:t>
        </w:r>
      </w:hyperlink>
      <w:r>
        <w:t xml:space="preserve"> </w:t>
      </w:r>
    </w:p>
  </w:footnote>
  <w:footnote w:id="13">
    <w:p w14:paraId="774596AA" w14:textId="617547F9" w:rsidR="009A629F" w:rsidRDefault="009A629F">
      <w:pPr>
        <w:pStyle w:val="FootnoteText"/>
      </w:pPr>
      <w:r>
        <w:rPr>
          <w:rStyle w:val="FootnoteReference"/>
        </w:rPr>
        <w:footnoteRef/>
      </w:r>
      <w:r>
        <w:t xml:space="preserve"> Ghana ERPD, ibid. </w:t>
      </w:r>
    </w:p>
  </w:footnote>
  <w:footnote w:id="14">
    <w:p w14:paraId="2B5A85CE" w14:textId="77777777" w:rsidR="009A629F" w:rsidRDefault="009A629F" w:rsidP="00AE07AE">
      <w:pPr>
        <w:pStyle w:val="FootnoteText"/>
      </w:pPr>
      <w:r>
        <w:rPr>
          <w:rStyle w:val="FootnoteReference"/>
        </w:rPr>
        <w:footnoteRef/>
      </w:r>
      <w:r>
        <w:t xml:space="preserve"> Readiness Preperation Proposal- Ghana, December 2010, see also</w:t>
      </w:r>
    </w:p>
    <w:p w14:paraId="4ACBFD63" w14:textId="77777777" w:rsidR="009A629F" w:rsidRDefault="009A629F" w:rsidP="00AE07AE">
      <w:pPr>
        <w:pStyle w:val="FootnoteText"/>
      </w:pPr>
      <w:r>
        <w:t>https://www.forestcarbonpartnership.org/sites/fcp/files/2014/May/Independent_Evaluation_of_REDD_Readiness_G hana.pdf</w:t>
      </w:r>
    </w:p>
  </w:footnote>
  <w:footnote w:id="15">
    <w:p w14:paraId="0EC498BB" w14:textId="77777777" w:rsidR="009A629F" w:rsidRDefault="009A629F" w:rsidP="00AE07AE">
      <w:pPr>
        <w:pStyle w:val="FootnoteText"/>
      </w:pPr>
      <w:r>
        <w:rPr>
          <w:rStyle w:val="FootnoteReference"/>
        </w:rPr>
        <w:footnoteRef/>
      </w:r>
      <w:r>
        <w:t xml:space="preserve"> </w:t>
      </w:r>
      <w:r w:rsidRPr="00912EED">
        <w:t>http://fcghana.org/nrs/phocadownload/ESMF_Ghana_FIP _Final_13_October%20_2014.pdf</w:t>
      </w:r>
    </w:p>
  </w:footnote>
  <w:footnote w:id="16">
    <w:p w14:paraId="5C575431" w14:textId="49B1A1C5" w:rsidR="009A629F" w:rsidRPr="00C21316" w:rsidRDefault="009A629F">
      <w:pPr>
        <w:pStyle w:val="FootnoteText"/>
        <w:rPr>
          <w:b/>
          <w:bCs/>
        </w:rPr>
      </w:pPr>
      <w:r>
        <w:rPr>
          <w:rStyle w:val="FootnoteReference"/>
        </w:rPr>
        <w:footnoteRef/>
      </w:r>
      <w:r>
        <w:t xml:space="preserve"> Forestry Commission of Ghana ‘</w:t>
      </w:r>
      <w:r>
        <w:rPr>
          <w:i/>
          <w:iCs/>
        </w:rPr>
        <w:t xml:space="preserve">REDD+ Mechanisms in Ghana, Strategic EEnvironmental and Social Assessement (SESA) Updated SESA report’ </w:t>
      </w:r>
      <w:r>
        <w:rPr>
          <w:b/>
          <w:bCs/>
        </w:rPr>
        <w:t>August 2016, Accra, Ghana.</w:t>
      </w:r>
    </w:p>
  </w:footnote>
  <w:footnote w:id="17">
    <w:p w14:paraId="272408A4" w14:textId="77777777" w:rsidR="009A629F" w:rsidRDefault="009A629F" w:rsidP="00AE07AE">
      <w:pPr>
        <w:pStyle w:val="FootnoteText"/>
      </w:pPr>
      <w:r>
        <w:rPr>
          <w:rStyle w:val="FootnoteReference"/>
        </w:rPr>
        <w:footnoteRef/>
      </w:r>
      <w:r>
        <w:t xml:space="preserve"> </w:t>
      </w:r>
      <w:r w:rsidRPr="000F05A0">
        <w:t>Forest Carbon Partnership Fund, Emission Reduction Programme Document, Ghana Cocoa REDD+ Programme, April 2017.</w:t>
      </w:r>
      <w:r>
        <w:t xml:space="preserve"> PP.179-181.</w:t>
      </w:r>
    </w:p>
  </w:footnote>
  <w:footnote w:id="18">
    <w:p w14:paraId="2C6C32BA" w14:textId="77777777" w:rsidR="009A629F" w:rsidRDefault="009A629F" w:rsidP="00AE07AE">
      <w:pPr>
        <w:pStyle w:val="FootnoteText"/>
      </w:pPr>
      <w:r>
        <w:rPr>
          <w:rStyle w:val="FootnoteReference"/>
        </w:rPr>
        <w:footnoteRef/>
      </w:r>
      <w:r>
        <w:t xml:space="preserve"> Report also attached to ERPD above.</w:t>
      </w:r>
    </w:p>
  </w:footnote>
  <w:footnote w:id="19">
    <w:p w14:paraId="4DE2D76C" w14:textId="3979E16A" w:rsidR="009A629F" w:rsidRDefault="009A629F" w:rsidP="00AE07AE">
      <w:pPr>
        <w:pStyle w:val="FootnoteText"/>
      </w:pPr>
      <w:r>
        <w:rPr>
          <w:rStyle w:val="FootnoteReference"/>
        </w:rPr>
        <w:footnoteRef/>
      </w:r>
      <w:r>
        <w:t xml:space="preserve"> </w:t>
      </w:r>
      <w:r w:rsidRPr="008B63FD">
        <w:t>http://fcghana.org/userfiles/files/REDD%2B/Updated%20ESMF%20%20%20%20%20REDD%2B_SALAug16-1(1).pdf</w:t>
      </w:r>
    </w:p>
  </w:footnote>
  <w:footnote w:id="20">
    <w:p w14:paraId="126F1983" w14:textId="77777777" w:rsidR="009A629F" w:rsidRDefault="009A629F" w:rsidP="00AE07AE">
      <w:pPr>
        <w:pStyle w:val="FootnoteText"/>
      </w:pPr>
      <w:r>
        <w:rPr>
          <w:rStyle w:val="FootnoteReference"/>
        </w:rPr>
        <w:footnoteRef/>
      </w:r>
      <w:r>
        <w:t xml:space="preserve"> http://</w:t>
      </w:r>
      <w:r w:rsidRPr="004A34B0">
        <w:t>fcghana.org/userfiles/files/REDD%2B/final%20RPFREDD%2B-oct%202014(1).pdf</w:t>
      </w:r>
    </w:p>
  </w:footnote>
  <w:footnote w:id="21">
    <w:p w14:paraId="4B3270CF" w14:textId="77777777" w:rsidR="009A629F" w:rsidRDefault="009A629F" w:rsidP="00AE07AE">
      <w:pPr>
        <w:pStyle w:val="FootnoteText"/>
      </w:pPr>
      <w:r>
        <w:rPr>
          <w:rStyle w:val="FootnoteReference"/>
        </w:rPr>
        <w:footnoteRef/>
      </w:r>
      <w:r>
        <w:t xml:space="preserve"> http://</w:t>
      </w:r>
      <w:r w:rsidRPr="000516B3">
        <w:t>fcghana.org/nrs/phocadownload/PMP_Ghana_FIP_ %20Draft_Final_%2027_Nov_2014.pdf</w:t>
      </w:r>
    </w:p>
  </w:footnote>
  <w:footnote w:id="22">
    <w:p w14:paraId="691E9435" w14:textId="77777777" w:rsidR="009A629F" w:rsidRDefault="009A629F" w:rsidP="00AE07AE">
      <w:pPr>
        <w:pStyle w:val="FootnoteText"/>
      </w:pPr>
      <w:r>
        <w:rPr>
          <w:rStyle w:val="FootnoteReference"/>
        </w:rPr>
        <w:footnoteRef/>
      </w:r>
      <w:r>
        <w:t xml:space="preserve"> </w:t>
      </w:r>
      <w:r w:rsidRPr="00437643">
        <w:t>This project, named Operationalising National Safeguard Requirements for Results-based Payments from REDD+, aimed to assist the government of Ghana (as well as Vietnam and Peru) to meet multiple safeguard requirements and be eligible for results-based payments.</w:t>
      </w:r>
    </w:p>
  </w:footnote>
  <w:footnote w:id="23">
    <w:p w14:paraId="6ADDB83E" w14:textId="77777777" w:rsidR="009A629F" w:rsidRPr="001E159A" w:rsidRDefault="009A629F" w:rsidP="00A013F6">
      <w:pPr>
        <w:pStyle w:val="FootnoteText"/>
        <w:rPr>
          <w:color w:val="000000" w:themeColor="text1"/>
          <w:szCs w:val="16"/>
        </w:rPr>
      </w:pPr>
      <w:r w:rsidRPr="00C168D9">
        <w:rPr>
          <w:rStyle w:val="FootnoteReference"/>
          <w:szCs w:val="16"/>
        </w:rPr>
        <w:footnoteRef/>
      </w:r>
      <w:r w:rsidRPr="00C168D9">
        <w:rPr>
          <w:szCs w:val="16"/>
        </w:rPr>
        <w:t xml:space="preserve"> Ibid, paragraph 5(b)</w:t>
      </w:r>
      <w:r>
        <w:rPr>
          <w:szCs w:val="16"/>
        </w:rPr>
        <w:t xml:space="preserve"> see also </w:t>
      </w:r>
      <w:r w:rsidRPr="00B309D2">
        <w:rPr>
          <w:szCs w:val="16"/>
        </w:rPr>
        <w:t xml:space="preserve">UN-REDD </w:t>
      </w:r>
      <w:hyperlink r:id="rId2" w:history="1">
        <w:r w:rsidRPr="00B309D2">
          <w:rPr>
            <w:rStyle w:val="Hyperlink"/>
            <w:szCs w:val="16"/>
          </w:rPr>
          <w:t>brief on summaries of information</w:t>
        </w:r>
      </w:hyperlink>
      <w:r>
        <w:rPr>
          <w:rStyle w:val="Hyperlink"/>
          <w:szCs w:val="16"/>
        </w:rPr>
        <w:t xml:space="preserve"> </w:t>
      </w:r>
      <w:r>
        <w:rPr>
          <w:rStyle w:val="Hyperlink"/>
          <w:color w:val="000000" w:themeColor="text1"/>
          <w:szCs w:val="16"/>
        </w:rPr>
        <w:t>for further analysis</w:t>
      </w:r>
    </w:p>
  </w:footnote>
  <w:footnote w:id="24">
    <w:p w14:paraId="08BEA7C4"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Constitution of the Republic of Ghana, 1992, Article 75</w:t>
      </w:r>
    </w:p>
  </w:footnote>
  <w:footnote w:id="25">
    <w:p w14:paraId="1536C33A"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Article 2 of the Constitution</w:t>
      </w:r>
    </w:p>
  </w:footnote>
  <w:footnote w:id="26">
    <w:p w14:paraId="70EC444F"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Article 1 of the Constitution</w:t>
      </w:r>
    </w:p>
  </w:footnote>
  <w:footnote w:id="27">
    <w:p w14:paraId="33058C67" w14:textId="77777777" w:rsidR="009A629F" w:rsidRPr="004C08AE" w:rsidRDefault="009A629F" w:rsidP="004D1524">
      <w:pPr>
        <w:pStyle w:val="FootnoteText"/>
        <w:rPr>
          <w:rFonts w:ascii="Times New Roman" w:hAnsi="Times New Roman"/>
          <w:szCs w:val="16"/>
          <w:lang w:val="fr-FR"/>
        </w:rPr>
      </w:pPr>
      <w:r w:rsidRPr="004C08AE">
        <w:rPr>
          <w:rStyle w:val="FootnoteReference"/>
          <w:rFonts w:ascii="Times New Roman" w:hAnsi="Times New Roman"/>
          <w:szCs w:val="16"/>
        </w:rPr>
        <w:footnoteRef/>
      </w:r>
      <w:r w:rsidRPr="004C08AE">
        <w:rPr>
          <w:rFonts w:ascii="Times New Roman" w:hAnsi="Times New Roman"/>
          <w:szCs w:val="16"/>
          <w:lang w:val="fr-FR"/>
        </w:rPr>
        <w:t xml:space="preserve">  Article 2</w:t>
      </w:r>
    </w:p>
  </w:footnote>
  <w:footnote w:id="28">
    <w:p w14:paraId="76E80F13" w14:textId="77777777" w:rsidR="009A629F" w:rsidRPr="004C08AE" w:rsidRDefault="009A629F" w:rsidP="004D1524">
      <w:pPr>
        <w:pStyle w:val="FootnoteText"/>
        <w:rPr>
          <w:rFonts w:ascii="Times New Roman" w:hAnsi="Times New Roman"/>
          <w:szCs w:val="16"/>
          <w:lang w:val="fr-FR"/>
        </w:rPr>
      </w:pPr>
      <w:r w:rsidRPr="004C08AE">
        <w:rPr>
          <w:rStyle w:val="FootnoteReference"/>
          <w:rFonts w:ascii="Times New Roman" w:hAnsi="Times New Roman"/>
          <w:szCs w:val="16"/>
        </w:rPr>
        <w:footnoteRef/>
      </w:r>
      <w:r w:rsidRPr="004C08AE">
        <w:rPr>
          <w:rFonts w:ascii="Times New Roman" w:hAnsi="Times New Roman"/>
          <w:szCs w:val="16"/>
          <w:lang w:val="fr-FR"/>
        </w:rPr>
        <w:t xml:space="preserve"> Article 2</w:t>
      </w:r>
    </w:p>
  </w:footnote>
  <w:footnote w:id="29">
    <w:p w14:paraId="3F974CEE" w14:textId="77777777" w:rsidR="009A629F" w:rsidRPr="004C08AE" w:rsidRDefault="009A629F" w:rsidP="004D1524">
      <w:pPr>
        <w:pStyle w:val="FootnoteText"/>
        <w:rPr>
          <w:rFonts w:ascii="Times New Roman" w:hAnsi="Times New Roman"/>
          <w:szCs w:val="16"/>
          <w:lang w:val="fr-FR"/>
        </w:rPr>
      </w:pPr>
      <w:r w:rsidRPr="004C08AE">
        <w:rPr>
          <w:rStyle w:val="FootnoteReference"/>
          <w:rFonts w:ascii="Times New Roman" w:hAnsi="Times New Roman"/>
          <w:szCs w:val="16"/>
        </w:rPr>
        <w:footnoteRef/>
      </w:r>
      <w:r w:rsidRPr="004C08AE">
        <w:rPr>
          <w:rFonts w:ascii="Times New Roman" w:hAnsi="Times New Roman"/>
          <w:szCs w:val="16"/>
          <w:lang w:val="fr-FR"/>
        </w:rPr>
        <w:t xml:space="preserve"> Article 2</w:t>
      </w:r>
    </w:p>
  </w:footnote>
  <w:footnote w:id="30">
    <w:p w14:paraId="2A6F1836" w14:textId="77777777" w:rsidR="009A629F" w:rsidRPr="004C08AE" w:rsidRDefault="009A629F" w:rsidP="004D1524">
      <w:pPr>
        <w:pStyle w:val="FootnoteText"/>
        <w:rPr>
          <w:rFonts w:ascii="Times New Roman" w:hAnsi="Times New Roman"/>
          <w:szCs w:val="16"/>
          <w:lang w:val="fr-FR"/>
        </w:rPr>
      </w:pPr>
      <w:r w:rsidRPr="004C08AE">
        <w:rPr>
          <w:rStyle w:val="FootnoteReference"/>
          <w:rFonts w:ascii="Times New Roman" w:hAnsi="Times New Roman"/>
          <w:szCs w:val="16"/>
        </w:rPr>
        <w:footnoteRef/>
      </w:r>
      <w:r w:rsidRPr="004C08AE">
        <w:rPr>
          <w:rFonts w:ascii="Times New Roman" w:hAnsi="Times New Roman"/>
          <w:szCs w:val="16"/>
          <w:lang w:val="fr-FR"/>
        </w:rPr>
        <w:t xml:space="preserve"> Article 2</w:t>
      </w:r>
    </w:p>
  </w:footnote>
  <w:footnote w:id="31">
    <w:p w14:paraId="0300899E" w14:textId="77777777" w:rsidR="009A629F" w:rsidRPr="004C08AE" w:rsidRDefault="009A629F" w:rsidP="004D1524">
      <w:pPr>
        <w:pStyle w:val="FootnoteText"/>
        <w:rPr>
          <w:rFonts w:ascii="Times New Roman" w:hAnsi="Times New Roman"/>
          <w:szCs w:val="16"/>
          <w:lang w:val="fr-FR"/>
        </w:rPr>
      </w:pPr>
      <w:r w:rsidRPr="004C08AE">
        <w:rPr>
          <w:rStyle w:val="FootnoteReference"/>
          <w:rFonts w:ascii="Times New Roman" w:hAnsi="Times New Roman"/>
          <w:szCs w:val="16"/>
        </w:rPr>
        <w:footnoteRef/>
      </w:r>
      <w:r w:rsidRPr="004C08AE">
        <w:rPr>
          <w:rFonts w:ascii="Times New Roman" w:hAnsi="Times New Roman"/>
          <w:szCs w:val="16"/>
          <w:lang w:val="fr-FR"/>
        </w:rPr>
        <w:t xml:space="preserve"> http://www.ramsar.org/sites/default/files/documents/library/handbook1_5ed_introductiontoconvention_e.pdf</w:t>
      </w:r>
    </w:p>
  </w:footnote>
  <w:footnote w:id="32">
    <w:p w14:paraId="46AC1624" w14:textId="77777777" w:rsidR="009A629F" w:rsidRPr="004C08AE" w:rsidRDefault="009A629F" w:rsidP="004D1524">
      <w:pPr>
        <w:pStyle w:val="FootnoteText"/>
        <w:rPr>
          <w:rFonts w:ascii="Times New Roman" w:hAnsi="Times New Roman"/>
          <w:szCs w:val="16"/>
          <w:lang w:val="fr-FR"/>
        </w:rPr>
      </w:pPr>
      <w:r w:rsidRPr="004C08AE">
        <w:rPr>
          <w:rStyle w:val="FootnoteReference"/>
          <w:rFonts w:ascii="Times New Roman" w:hAnsi="Times New Roman"/>
          <w:szCs w:val="16"/>
        </w:rPr>
        <w:footnoteRef/>
      </w:r>
      <w:r w:rsidRPr="004D1524">
        <w:rPr>
          <w:rFonts w:ascii="Times New Roman" w:hAnsi="Times New Roman"/>
          <w:szCs w:val="16"/>
          <w:lang w:val="fr-FR"/>
        </w:rPr>
        <w:t xml:space="preserve"> </w:t>
      </w:r>
      <w:r w:rsidRPr="004C08AE">
        <w:rPr>
          <w:rFonts w:ascii="Times New Roman" w:hAnsi="Times New Roman"/>
          <w:szCs w:val="16"/>
          <w:lang w:val="fr-FR"/>
        </w:rPr>
        <w:t>Article 2</w:t>
      </w:r>
    </w:p>
  </w:footnote>
  <w:footnote w:id="33">
    <w:p w14:paraId="52DA2F35" w14:textId="77777777" w:rsidR="009A629F" w:rsidRPr="004C08AE" w:rsidRDefault="009A629F" w:rsidP="004D1524">
      <w:pPr>
        <w:pStyle w:val="FootnoteText"/>
        <w:rPr>
          <w:rFonts w:ascii="Times New Roman" w:hAnsi="Times New Roman"/>
          <w:szCs w:val="16"/>
          <w:lang w:val="fr-FR"/>
        </w:rPr>
      </w:pPr>
      <w:r w:rsidRPr="004C08AE">
        <w:rPr>
          <w:rStyle w:val="FootnoteReference"/>
          <w:rFonts w:ascii="Times New Roman" w:hAnsi="Times New Roman"/>
          <w:szCs w:val="16"/>
        </w:rPr>
        <w:footnoteRef/>
      </w:r>
      <w:r w:rsidRPr="004C08AE">
        <w:rPr>
          <w:rFonts w:ascii="Times New Roman" w:hAnsi="Times New Roman"/>
          <w:szCs w:val="16"/>
          <w:lang w:val="fr-FR"/>
        </w:rPr>
        <w:t xml:space="preserve"> Article 2</w:t>
      </w:r>
    </w:p>
  </w:footnote>
  <w:footnote w:id="34">
    <w:p w14:paraId="1751E3B7" w14:textId="77777777" w:rsidR="009A629F" w:rsidRPr="004C08AE" w:rsidRDefault="009A629F" w:rsidP="004D1524">
      <w:pPr>
        <w:pStyle w:val="FootnoteText"/>
        <w:rPr>
          <w:rFonts w:ascii="Times New Roman" w:hAnsi="Times New Roman"/>
          <w:szCs w:val="16"/>
          <w:lang w:val="fr-FR"/>
        </w:rPr>
      </w:pPr>
      <w:r w:rsidRPr="004C08AE">
        <w:rPr>
          <w:rStyle w:val="FootnoteReference"/>
          <w:rFonts w:ascii="Times New Roman" w:hAnsi="Times New Roman"/>
          <w:szCs w:val="16"/>
        </w:rPr>
        <w:footnoteRef/>
      </w:r>
      <w:r w:rsidRPr="004C08AE">
        <w:rPr>
          <w:rFonts w:ascii="Times New Roman" w:hAnsi="Times New Roman"/>
          <w:szCs w:val="16"/>
          <w:lang w:val="fr-FR"/>
        </w:rPr>
        <w:t xml:space="preserve"> Article 5</w:t>
      </w:r>
    </w:p>
  </w:footnote>
  <w:footnote w:id="35">
    <w:p w14:paraId="3B99A6B1" w14:textId="77777777" w:rsidR="009A629F" w:rsidRPr="004D1524" w:rsidRDefault="009A629F" w:rsidP="004D1524">
      <w:pPr>
        <w:pStyle w:val="FootnoteText"/>
        <w:rPr>
          <w:rFonts w:ascii="Times New Roman" w:hAnsi="Times New Roman"/>
          <w:szCs w:val="16"/>
          <w:lang w:val="fr-FR"/>
        </w:rPr>
      </w:pPr>
      <w:r w:rsidRPr="004C08AE">
        <w:rPr>
          <w:rStyle w:val="FootnoteReference"/>
          <w:rFonts w:ascii="Times New Roman" w:hAnsi="Times New Roman"/>
          <w:szCs w:val="16"/>
        </w:rPr>
        <w:footnoteRef/>
      </w:r>
      <w:r w:rsidRPr="004D1524">
        <w:rPr>
          <w:rFonts w:ascii="Times New Roman" w:hAnsi="Times New Roman"/>
          <w:szCs w:val="16"/>
          <w:lang w:val="fr-FR"/>
        </w:rPr>
        <w:t xml:space="preserve"> Article 2</w:t>
      </w:r>
    </w:p>
  </w:footnote>
  <w:footnote w:id="36">
    <w:p w14:paraId="109CAB85" w14:textId="77777777" w:rsidR="009A629F" w:rsidRPr="004D1524" w:rsidRDefault="009A629F" w:rsidP="004D1524">
      <w:pPr>
        <w:rPr>
          <w:rFonts w:ascii="Calibri" w:hAnsi="Calibri"/>
          <w:sz w:val="16"/>
          <w:szCs w:val="16"/>
          <w:lang w:val="fr-FR"/>
        </w:rPr>
      </w:pPr>
      <w:r w:rsidRPr="0003302B">
        <w:rPr>
          <w:rStyle w:val="FootnoteReference"/>
          <w:rFonts w:ascii="Calibri" w:hAnsi="Calibri"/>
          <w:sz w:val="16"/>
          <w:szCs w:val="16"/>
        </w:rPr>
        <w:footnoteRef/>
      </w:r>
      <w:r w:rsidRPr="004D1524">
        <w:rPr>
          <w:rFonts w:ascii="Calibri" w:hAnsi="Calibri"/>
          <w:sz w:val="16"/>
          <w:szCs w:val="16"/>
          <w:lang w:val="fr-FR"/>
        </w:rPr>
        <w:t xml:space="preserve"> Constitution, Article 21(1)(f) </w:t>
      </w:r>
    </w:p>
  </w:footnote>
  <w:footnote w:id="37">
    <w:p w14:paraId="656CD146" w14:textId="77777777" w:rsidR="009A629F" w:rsidRPr="0003302B" w:rsidRDefault="009A629F" w:rsidP="004D1524">
      <w:pPr>
        <w:rPr>
          <w:rFonts w:ascii="Calibri" w:hAnsi="Calibri"/>
          <w:sz w:val="16"/>
          <w:szCs w:val="16"/>
        </w:rPr>
      </w:pPr>
      <w:r w:rsidRPr="0003302B">
        <w:rPr>
          <w:rStyle w:val="FootnoteReference"/>
          <w:rFonts w:ascii="Calibri" w:hAnsi="Calibri"/>
          <w:sz w:val="16"/>
          <w:szCs w:val="16"/>
        </w:rPr>
        <w:footnoteRef/>
      </w:r>
      <w:r w:rsidRPr="0003302B">
        <w:rPr>
          <w:rFonts w:ascii="Calibri" w:hAnsi="Calibri"/>
          <w:sz w:val="16"/>
          <w:szCs w:val="16"/>
        </w:rPr>
        <w:t xml:space="preserve"> Administration of Lands Act, 1962 (Act 123), Section 10 (2); Regulation 28 Environmental Assessment Regulation (1999); Ghana Forest and Wildlife Policy, (2012) Strategic Direction 5.1.1(c and f) and Strategic Direction 5.2.1(d) of Policy Objective 4 (pp 29-30) Strategic Direction 5.2.1(b)</w:t>
      </w:r>
      <w:r w:rsidRPr="0003302B">
        <w:rPr>
          <w:rFonts w:ascii="Calibri" w:eastAsia="Times New Roman" w:hAnsi="Calibri"/>
          <w:sz w:val="16"/>
          <w:szCs w:val="16"/>
        </w:rPr>
        <w:t xml:space="preserve">. </w:t>
      </w:r>
    </w:p>
  </w:footnote>
  <w:footnote w:id="38">
    <w:p w14:paraId="1AA560F8" w14:textId="77777777" w:rsidR="009A629F" w:rsidRPr="0003302B" w:rsidRDefault="009A629F" w:rsidP="004D1524">
      <w:pPr>
        <w:rPr>
          <w:rFonts w:ascii="Calibri" w:hAnsi="Calibri"/>
          <w:sz w:val="16"/>
          <w:szCs w:val="16"/>
        </w:rPr>
      </w:pPr>
      <w:r w:rsidRPr="0003302B">
        <w:rPr>
          <w:rStyle w:val="FootnoteReference"/>
          <w:rFonts w:ascii="Calibri" w:hAnsi="Calibri"/>
          <w:sz w:val="16"/>
          <w:szCs w:val="16"/>
        </w:rPr>
        <w:footnoteRef/>
      </w:r>
      <w:r w:rsidRPr="0003302B">
        <w:rPr>
          <w:rFonts w:ascii="Calibri" w:hAnsi="Calibri"/>
          <w:sz w:val="16"/>
          <w:szCs w:val="16"/>
        </w:rPr>
        <w:t xml:space="preserve"> The Administration of Lands Act, 1962, Section 10. The Environmental Assessment Regulations, Regulation 28</w:t>
      </w:r>
    </w:p>
  </w:footnote>
  <w:footnote w:id="39">
    <w:p w14:paraId="5585CB35" w14:textId="77777777" w:rsidR="009A629F" w:rsidRPr="0003302B" w:rsidRDefault="009A629F" w:rsidP="004D1524">
      <w:pPr>
        <w:rPr>
          <w:rFonts w:ascii="Calibri" w:hAnsi="Calibri"/>
          <w:sz w:val="16"/>
          <w:szCs w:val="16"/>
        </w:rPr>
      </w:pPr>
      <w:r w:rsidRPr="0003302B">
        <w:rPr>
          <w:rStyle w:val="FootnoteReference"/>
          <w:rFonts w:ascii="Calibri" w:hAnsi="Calibri"/>
          <w:sz w:val="16"/>
          <w:szCs w:val="16"/>
        </w:rPr>
        <w:footnoteRef/>
      </w:r>
      <w:r w:rsidRPr="0003302B">
        <w:rPr>
          <w:rFonts w:ascii="Calibri" w:hAnsi="Calibri"/>
          <w:sz w:val="16"/>
          <w:szCs w:val="16"/>
        </w:rPr>
        <w:t xml:space="preserve"> Economic and Organised Crime Office Act, 2010 (Act 804) and Commission on Human Rights and Administrative Justice Act, 1993</w:t>
      </w:r>
    </w:p>
  </w:footnote>
  <w:footnote w:id="40">
    <w:p w14:paraId="08D1842D" w14:textId="77777777" w:rsidR="009A629F" w:rsidRPr="0003302B" w:rsidRDefault="009A629F" w:rsidP="004D1524">
      <w:pPr>
        <w:ind w:left="720" w:hanging="720"/>
        <w:suppressOverlap/>
        <w:rPr>
          <w:rFonts w:ascii="Calibri" w:hAnsi="Calibri"/>
          <w:sz w:val="16"/>
          <w:szCs w:val="16"/>
        </w:rPr>
      </w:pPr>
      <w:r w:rsidRPr="0003302B">
        <w:rPr>
          <w:rStyle w:val="FootnoteReference"/>
          <w:rFonts w:ascii="Calibri" w:hAnsi="Calibri"/>
          <w:sz w:val="16"/>
          <w:szCs w:val="16"/>
        </w:rPr>
        <w:footnoteRef/>
      </w:r>
      <w:r w:rsidRPr="0003302B">
        <w:rPr>
          <w:rFonts w:ascii="Calibri" w:hAnsi="Calibri"/>
          <w:sz w:val="16"/>
          <w:szCs w:val="16"/>
        </w:rPr>
        <w:t xml:space="preserve"> Constitution, Articles 284 and 41(f)</w:t>
      </w:r>
    </w:p>
    <w:p w14:paraId="68C8769B" w14:textId="77777777" w:rsidR="009A629F" w:rsidRPr="0003302B" w:rsidRDefault="009A629F" w:rsidP="004D1524">
      <w:pPr>
        <w:pStyle w:val="FootnoteText"/>
        <w:rPr>
          <w:szCs w:val="16"/>
        </w:rPr>
      </w:pPr>
    </w:p>
  </w:footnote>
  <w:footnote w:id="41">
    <w:p w14:paraId="6D7B045A" w14:textId="77777777" w:rsidR="009A629F" w:rsidRPr="0003302B" w:rsidRDefault="009A629F" w:rsidP="004D1524">
      <w:pPr>
        <w:pStyle w:val="FootnoteText"/>
        <w:rPr>
          <w:szCs w:val="16"/>
        </w:rPr>
      </w:pPr>
      <w:r w:rsidRPr="0003302B">
        <w:rPr>
          <w:rStyle w:val="FootnoteReference"/>
          <w:szCs w:val="16"/>
        </w:rPr>
        <w:footnoteRef/>
      </w:r>
      <w:r w:rsidRPr="0003302B">
        <w:rPr>
          <w:szCs w:val="16"/>
        </w:rPr>
        <w:t xml:space="preserve"> The Commission on Human Rights and Administrative Justice (CHRAJ) is provided for by Constitution, Articles 218(a), (b) and (e) and 287;</w:t>
      </w:r>
      <w:r w:rsidRPr="0003302B">
        <w:rPr>
          <w:b/>
          <w:szCs w:val="16"/>
          <w:u w:val="single"/>
        </w:rPr>
        <w:t xml:space="preserve"> </w:t>
      </w:r>
      <w:r w:rsidRPr="0003302B">
        <w:rPr>
          <w:szCs w:val="16"/>
        </w:rPr>
        <w:t xml:space="preserve">and Act 456, 1993. The Economic and organized Crime office is provided for in Act 804 of 2010. </w:t>
      </w:r>
    </w:p>
  </w:footnote>
  <w:footnote w:id="42">
    <w:p w14:paraId="2362EE0D" w14:textId="77777777" w:rsidR="009A629F" w:rsidRPr="009E4125" w:rsidRDefault="009A629F" w:rsidP="004D1524">
      <w:pPr>
        <w:pStyle w:val="FootnoteText"/>
        <w:rPr>
          <w:szCs w:val="16"/>
        </w:rPr>
      </w:pPr>
      <w:r w:rsidRPr="0003302B">
        <w:rPr>
          <w:rStyle w:val="FootnoteReference"/>
          <w:szCs w:val="16"/>
        </w:rPr>
        <w:footnoteRef/>
      </w:r>
      <w:r w:rsidRPr="0003302B">
        <w:rPr>
          <w:szCs w:val="16"/>
        </w:rPr>
        <w:t xml:space="preserve"> Criminal Offences Act, 1960 (Act 29), Section 239(1), Section 179C and Section 296(5)</w:t>
      </w:r>
    </w:p>
  </w:footnote>
  <w:footnote w:id="43">
    <w:p w14:paraId="25533E38" w14:textId="77777777" w:rsidR="009A629F" w:rsidRPr="004C08AE" w:rsidRDefault="009A629F" w:rsidP="004D1524">
      <w:pPr>
        <w:pStyle w:val="texto"/>
        <w:ind w:firstLine="0"/>
        <w:rPr>
          <w:rFonts w:ascii="Times New Roman" w:hAnsi="Times New Roman" w:cs="Times New Roman"/>
          <w:sz w:val="16"/>
          <w:szCs w:val="16"/>
          <w:lang w:val="en-GB"/>
        </w:rPr>
      </w:pPr>
      <w:r w:rsidRPr="004C08AE">
        <w:rPr>
          <w:rStyle w:val="FootnoteReference"/>
          <w:rFonts w:ascii="Times New Roman" w:hAnsi="Times New Roman" w:cs="Times New Roman"/>
          <w:sz w:val="16"/>
          <w:szCs w:val="16"/>
        </w:rPr>
        <w:footnoteRef/>
      </w:r>
      <w:r w:rsidRPr="00982DDC">
        <w:rPr>
          <w:rFonts w:ascii="Times New Roman" w:hAnsi="Times New Roman" w:cs="Times New Roman"/>
          <w:sz w:val="16"/>
          <w:szCs w:val="16"/>
          <w:lang w:val="en-US"/>
        </w:rPr>
        <w:t xml:space="preserve"> </w:t>
      </w:r>
      <w:r w:rsidRPr="004C08AE">
        <w:rPr>
          <w:rFonts w:ascii="Times New Roman" w:hAnsi="Times New Roman" w:cs="Times New Roman"/>
          <w:sz w:val="16"/>
          <w:szCs w:val="16"/>
          <w:lang w:val="en-GB"/>
        </w:rPr>
        <w:t>Land Registry Act, 1962 (Act 122): Sections 24 and 25</w:t>
      </w:r>
    </w:p>
  </w:footnote>
  <w:footnote w:id="44">
    <w:p w14:paraId="0586A77D"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Conveyancing Act, Section 1</w:t>
      </w:r>
    </w:p>
  </w:footnote>
  <w:footnote w:id="45">
    <w:p w14:paraId="19D42248" w14:textId="77777777" w:rsidR="009A629F" w:rsidRPr="004D1524" w:rsidRDefault="009A629F" w:rsidP="004D1524">
      <w:pPr>
        <w:pStyle w:val="FootnoteText"/>
        <w:rPr>
          <w:rFonts w:ascii="Times New Roman" w:hAnsi="Times New Roman"/>
          <w:szCs w:val="16"/>
          <w:lang w:val="en-US"/>
        </w:rPr>
      </w:pPr>
      <w:r w:rsidRPr="004C08AE">
        <w:rPr>
          <w:rStyle w:val="FootnoteReference"/>
          <w:rFonts w:ascii="Times New Roman" w:hAnsi="Times New Roman"/>
          <w:szCs w:val="16"/>
        </w:rPr>
        <w:footnoteRef/>
      </w:r>
      <w:r w:rsidRPr="004D1524">
        <w:rPr>
          <w:rFonts w:ascii="Times New Roman" w:hAnsi="Times New Roman"/>
          <w:szCs w:val="16"/>
          <w:lang w:val="en-US"/>
        </w:rPr>
        <w:t xml:space="preserve"> Constitution, Article 267(1) </w:t>
      </w:r>
    </w:p>
  </w:footnote>
  <w:footnote w:id="46">
    <w:p w14:paraId="7A33DCA6" w14:textId="77777777" w:rsidR="009A629F" w:rsidRPr="00F73491" w:rsidRDefault="009A629F" w:rsidP="004D1524">
      <w:pPr>
        <w:rPr>
          <w:rFonts w:ascii="Calibri" w:hAnsi="Calibri"/>
          <w:sz w:val="16"/>
          <w:szCs w:val="16"/>
        </w:rPr>
      </w:pPr>
      <w:r w:rsidRPr="00F73491">
        <w:rPr>
          <w:rStyle w:val="FootnoteReference"/>
          <w:rFonts w:ascii="Calibri" w:hAnsi="Calibri"/>
          <w:sz w:val="16"/>
          <w:szCs w:val="16"/>
        </w:rPr>
        <w:footnoteRef/>
      </w:r>
      <w:r w:rsidRPr="004D1524">
        <w:rPr>
          <w:rFonts w:ascii="Calibri" w:hAnsi="Calibri"/>
          <w:sz w:val="16"/>
          <w:szCs w:val="16"/>
          <w:lang w:val="en-US"/>
        </w:rPr>
        <w:t xml:space="preserve"> Ollennu, N. A. (1962). </w:t>
      </w:r>
      <w:r w:rsidRPr="00F73491">
        <w:rPr>
          <w:rFonts w:ascii="Calibri" w:hAnsi="Calibri"/>
          <w:sz w:val="16"/>
          <w:szCs w:val="16"/>
        </w:rPr>
        <w:t>Principles of Customary Land Law in Ghana, London, Staples Printers</w:t>
      </w:r>
    </w:p>
  </w:footnote>
  <w:footnote w:id="47">
    <w:p w14:paraId="32A4CADC" w14:textId="77777777" w:rsidR="009A629F" w:rsidRPr="00F73491" w:rsidRDefault="009A629F" w:rsidP="004D1524">
      <w:pPr>
        <w:pStyle w:val="FootnoteText"/>
        <w:rPr>
          <w:szCs w:val="16"/>
        </w:rPr>
      </w:pPr>
      <w:r w:rsidRPr="00F73491">
        <w:rPr>
          <w:rStyle w:val="FootnoteReference"/>
          <w:szCs w:val="16"/>
        </w:rPr>
        <w:footnoteRef/>
      </w:r>
      <w:r w:rsidRPr="00F73491">
        <w:rPr>
          <w:szCs w:val="16"/>
        </w:rPr>
        <w:t xml:space="preserve"> Conveyancing Act, Section 1 </w:t>
      </w:r>
    </w:p>
  </w:footnote>
  <w:footnote w:id="48">
    <w:p w14:paraId="6928DF38" w14:textId="77777777" w:rsidR="009A629F" w:rsidRPr="004C08AE" w:rsidRDefault="009A629F" w:rsidP="004D1524">
      <w:pPr>
        <w:rPr>
          <w:sz w:val="16"/>
          <w:szCs w:val="16"/>
        </w:rPr>
      </w:pPr>
      <w:r w:rsidRPr="004C08AE">
        <w:rPr>
          <w:rStyle w:val="FootnoteReference"/>
          <w:sz w:val="16"/>
          <w:szCs w:val="16"/>
        </w:rPr>
        <w:footnoteRef/>
      </w:r>
      <w:r w:rsidRPr="004C08AE">
        <w:rPr>
          <w:sz w:val="16"/>
          <w:szCs w:val="16"/>
        </w:rPr>
        <w:t xml:space="preserve"> </w:t>
      </w:r>
      <w:r w:rsidRPr="004C08AE">
        <w:rPr>
          <w:rFonts w:eastAsia="Times New Roman"/>
          <w:color w:val="000000"/>
          <w:sz w:val="16"/>
          <w:szCs w:val="16"/>
          <w:lang w:eastAsia="en-GB"/>
        </w:rPr>
        <w:t xml:space="preserve">Constitution, Article 267 (1) and (2); </w:t>
      </w:r>
      <w:r w:rsidRPr="004C08AE">
        <w:rPr>
          <w:sz w:val="16"/>
          <w:szCs w:val="16"/>
        </w:rPr>
        <w:t>Timber Resource Management Act, 1998 (Act 547): Sections 4 (1) (2) (3) and 8</w:t>
      </w:r>
    </w:p>
  </w:footnote>
  <w:footnote w:id="49">
    <w:p w14:paraId="60084F91" w14:textId="77777777" w:rsidR="009A629F" w:rsidRPr="00F73491" w:rsidRDefault="009A629F" w:rsidP="004D1524">
      <w:pPr>
        <w:shd w:val="clear" w:color="auto" w:fill="FFFFFF"/>
        <w:rPr>
          <w:rFonts w:ascii="Calibri" w:hAnsi="Calibri"/>
          <w:sz w:val="16"/>
          <w:szCs w:val="16"/>
        </w:rPr>
      </w:pPr>
      <w:r w:rsidRPr="00F73491">
        <w:rPr>
          <w:rStyle w:val="FootnoteReference"/>
          <w:rFonts w:ascii="Calibri" w:hAnsi="Calibri"/>
          <w:sz w:val="16"/>
          <w:szCs w:val="16"/>
        </w:rPr>
        <w:footnoteRef/>
      </w:r>
      <w:r w:rsidRPr="00F73491">
        <w:rPr>
          <w:rFonts w:ascii="Calibri" w:hAnsi="Calibri"/>
          <w:sz w:val="16"/>
          <w:szCs w:val="16"/>
        </w:rPr>
        <w:t xml:space="preserve"> </w:t>
      </w:r>
      <w:r w:rsidRPr="00F73491">
        <w:rPr>
          <w:rFonts w:ascii="Calibri" w:eastAsia="Times New Roman" w:hAnsi="Calibri" w:cs="Arial"/>
          <w:color w:val="000000"/>
          <w:sz w:val="16"/>
          <w:szCs w:val="16"/>
          <w:lang w:eastAsia="en-GB"/>
        </w:rPr>
        <w:t xml:space="preserve">Constitution, Article 267 (1) and (2); </w:t>
      </w:r>
      <w:r w:rsidRPr="00F73491">
        <w:rPr>
          <w:rFonts w:ascii="Calibri" w:hAnsi="Calibri"/>
          <w:sz w:val="16"/>
          <w:szCs w:val="16"/>
        </w:rPr>
        <w:t>Timber Resource Management Act, 1998 (Act 547): Sections 4 (1) (2) (3) and 8</w:t>
      </w:r>
    </w:p>
  </w:footnote>
  <w:footnote w:id="50">
    <w:p w14:paraId="39E160EB"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Article 2, 1. Convention on Biological Diversity (CBD) (1992).</w:t>
      </w:r>
    </w:p>
  </w:footnote>
  <w:footnote w:id="51">
    <w:p w14:paraId="164FD8C9"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Constitution, Article 17.</w:t>
      </w:r>
      <w:r w:rsidRPr="004C08AE">
        <w:rPr>
          <w:rFonts w:ascii="Times New Roman" w:eastAsia="Times New Roman" w:hAnsi="Times New Roman"/>
          <w:color w:val="000000"/>
          <w:szCs w:val="16"/>
          <w:lang w:eastAsia="en-GB"/>
        </w:rPr>
        <w:t xml:space="preserve"> Labour Act 2003 (Act 651), Section 87.</w:t>
      </w:r>
    </w:p>
  </w:footnote>
  <w:footnote w:id="52">
    <w:p w14:paraId="103C6074"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National Gender Policy 2016 5.2.5 Policy Commitment 5;</w:t>
      </w:r>
    </w:p>
  </w:footnote>
  <w:footnote w:id="53">
    <w:p w14:paraId="774CF5EA"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Constitution, Article 19(1) and  Article 294 (1) and (4)</w:t>
      </w:r>
    </w:p>
  </w:footnote>
  <w:footnote w:id="54">
    <w:p w14:paraId="5E82FF8D" w14:textId="77777777" w:rsidR="009A629F" w:rsidRPr="00F73491" w:rsidRDefault="009A629F" w:rsidP="004D1524">
      <w:pPr>
        <w:shd w:val="clear" w:color="auto" w:fill="FFFFFF"/>
        <w:rPr>
          <w:rFonts w:ascii="Calibri" w:eastAsia="Times New Roman" w:hAnsi="Calibri" w:cs="Arial"/>
          <w:color w:val="000000"/>
          <w:sz w:val="16"/>
          <w:szCs w:val="16"/>
          <w:lang w:eastAsia="en-GB"/>
        </w:rPr>
      </w:pPr>
      <w:r w:rsidRPr="00F73491">
        <w:rPr>
          <w:rStyle w:val="FootnoteReference"/>
          <w:rFonts w:ascii="Calibri" w:hAnsi="Calibri"/>
          <w:sz w:val="16"/>
          <w:szCs w:val="16"/>
        </w:rPr>
        <w:footnoteRef/>
      </w:r>
      <w:r w:rsidRPr="00F73491">
        <w:rPr>
          <w:rFonts w:ascii="Calibri" w:hAnsi="Calibri"/>
          <w:sz w:val="16"/>
          <w:szCs w:val="16"/>
        </w:rPr>
        <w:t xml:space="preserve"> C</w:t>
      </w:r>
      <w:r w:rsidRPr="00F73491">
        <w:rPr>
          <w:rFonts w:ascii="Calibri" w:eastAsia="Times New Roman" w:hAnsi="Calibri" w:cs="Arial"/>
          <w:b/>
          <w:color w:val="000000"/>
          <w:sz w:val="16"/>
          <w:szCs w:val="16"/>
          <w:lang w:eastAsia="en-GB"/>
        </w:rPr>
        <w:t>onstitution 1992 Article 126 (1)</w:t>
      </w:r>
      <w:r w:rsidRPr="00F73491">
        <w:rPr>
          <w:rFonts w:ascii="Calibri" w:eastAsia="Times New Roman" w:hAnsi="Calibri" w:cs="Arial"/>
          <w:color w:val="000000"/>
          <w:sz w:val="16"/>
          <w:szCs w:val="16"/>
          <w:lang w:eastAsia="en-GB"/>
        </w:rPr>
        <w:t xml:space="preserve"> The Judiciary shall consist of </w:t>
      </w:r>
    </w:p>
    <w:p w14:paraId="6292B3A4" w14:textId="77777777" w:rsidR="009A629F" w:rsidRPr="00F73491" w:rsidRDefault="009A629F" w:rsidP="004D1524">
      <w:pPr>
        <w:shd w:val="clear" w:color="auto" w:fill="FFFFFF"/>
        <w:rPr>
          <w:rFonts w:ascii="Calibri" w:eastAsia="Times New Roman" w:hAnsi="Calibri" w:cs="Arial"/>
          <w:color w:val="000000"/>
          <w:sz w:val="16"/>
          <w:szCs w:val="16"/>
          <w:lang w:eastAsia="en-GB"/>
        </w:rPr>
      </w:pPr>
      <w:r w:rsidRPr="00F73491">
        <w:rPr>
          <w:rFonts w:ascii="Calibri" w:eastAsia="Times New Roman" w:hAnsi="Calibri" w:cs="Arial"/>
          <w:color w:val="000000"/>
          <w:sz w:val="16"/>
          <w:szCs w:val="16"/>
          <w:lang w:eastAsia="en-GB"/>
        </w:rPr>
        <w:tab/>
        <w:t>(a)</w:t>
      </w:r>
      <w:r w:rsidRPr="00F73491">
        <w:rPr>
          <w:rFonts w:ascii="Calibri" w:eastAsia="Times New Roman" w:hAnsi="Calibri" w:cs="Arial"/>
          <w:color w:val="000000"/>
          <w:sz w:val="16"/>
          <w:szCs w:val="16"/>
          <w:lang w:eastAsia="en-GB"/>
        </w:rPr>
        <w:tab/>
        <w:t>the Superior Court of Judicature comprising,</w:t>
      </w:r>
    </w:p>
    <w:p w14:paraId="3102783D" w14:textId="77777777" w:rsidR="009A629F" w:rsidRPr="00F73491" w:rsidRDefault="009A629F" w:rsidP="004D1524">
      <w:pPr>
        <w:shd w:val="clear" w:color="auto" w:fill="FFFFFF"/>
        <w:rPr>
          <w:rFonts w:ascii="Calibri" w:eastAsia="Times New Roman" w:hAnsi="Calibri" w:cs="Arial"/>
          <w:color w:val="000000"/>
          <w:sz w:val="16"/>
          <w:szCs w:val="16"/>
          <w:lang w:eastAsia="en-GB"/>
        </w:rPr>
      </w:pPr>
      <w:r w:rsidRPr="00F73491">
        <w:rPr>
          <w:rFonts w:ascii="Calibri" w:eastAsia="Times New Roman" w:hAnsi="Calibri" w:cs="Arial"/>
          <w:color w:val="000000"/>
          <w:sz w:val="16"/>
          <w:szCs w:val="16"/>
          <w:lang w:eastAsia="en-GB"/>
        </w:rPr>
        <w:tab/>
        <w:t>(i)</w:t>
      </w:r>
      <w:r w:rsidRPr="00F73491">
        <w:rPr>
          <w:rFonts w:ascii="Calibri" w:eastAsia="Times New Roman" w:hAnsi="Calibri" w:cs="Arial"/>
          <w:color w:val="000000"/>
          <w:sz w:val="16"/>
          <w:szCs w:val="16"/>
          <w:lang w:eastAsia="en-GB"/>
        </w:rPr>
        <w:tab/>
        <w:t>the Supreme Court,</w:t>
      </w:r>
    </w:p>
    <w:p w14:paraId="46CB97F2" w14:textId="77777777" w:rsidR="009A629F" w:rsidRPr="00F73491" w:rsidRDefault="009A629F" w:rsidP="004D1524">
      <w:pPr>
        <w:shd w:val="clear" w:color="auto" w:fill="FFFFFF"/>
        <w:rPr>
          <w:rFonts w:ascii="Calibri" w:eastAsia="Times New Roman" w:hAnsi="Calibri" w:cs="Arial"/>
          <w:color w:val="000000"/>
          <w:sz w:val="16"/>
          <w:szCs w:val="16"/>
          <w:lang w:eastAsia="en-GB"/>
        </w:rPr>
      </w:pPr>
      <w:r w:rsidRPr="00F73491">
        <w:rPr>
          <w:rFonts w:ascii="Calibri" w:eastAsia="Times New Roman" w:hAnsi="Calibri" w:cs="Arial"/>
          <w:color w:val="000000"/>
          <w:sz w:val="16"/>
          <w:szCs w:val="16"/>
          <w:lang w:eastAsia="en-GB"/>
        </w:rPr>
        <w:tab/>
        <w:t>(ii)</w:t>
      </w:r>
      <w:r w:rsidRPr="00F73491">
        <w:rPr>
          <w:rFonts w:ascii="Calibri" w:eastAsia="Times New Roman" w:hAnsi="Calibri" w:cs="Arial"/>
          <w:color w:val="000000"/>
          <w:sz w:val="16"/>
          <w:szCs w:val="16"/>
          <w:lang w:eastAsia="en-GB"/>
        </w:rPr>
        <w:tab/>
        <w:t>the Court of Appeal, and</w:t>
      </w:r>
    </w:p>
    <w:p w14:paraId="0B910C50" w14:textId="77777777" w:rsidR="009A629F" w:rsidRPr="00F73491" w:rsidRDefault="009A629F" w:rsidP="004D1524">
      <w:pPr>
        <w:shd w:val="clear" w:color="auto" w:fill="FFFFFF"/>
        <w:rPr>
          <w:rFonts w:ascii="Calibri" w:eastAsia="Times New Roman" w:hAnsi="Calibri" w:cs="Arial"/>
          <w:color w:val="000000"/>
          <w:sz w:val="16"/>
          <w:szCs w:val="16"/>
          <w:lang w:eastAsia="en-GB"/>
        </w:rPr>
      </w:pPr>
      <w:r w:rsidRPr="00F73491">
        <w:rPr>
          <w:rFonts w:ascii="Calibri" w:eastAsia="Times New Roman" w:hAnsi="Calibri" w:cs="Arial"/>
          <w:color w:val="000000"/>
          <w:sz w:val="16"/>
          <w:szCs w:val="16"/>
          <w:lang w:eastAsia="en-GB"/>
        </w:rPr>
        <w:tab/>
        <w:t>(iii)</w:t>
      </w:r>
      <w:r w:rsidRPr="00F73491">
        <w:rPr>
          <w:rFonts w:ascii="Calibri" w:eastAsia="Times New Roman" w:hAnsi="Calibri" w:cs="Arial"/>
          <w:color w:val="000000"/>
          <w:sz w:val="16"/>
          <w:szCs w:val="16"/>
          <w:lang w:eastAsia="en-GB"/>
        </w:rPr>
        <w:tab/>
        <w:t>the High Court and Regional Tribunals;</w:t>
      </w:r>
    </w:p>
    <w:p w14:paraId="56921408" w14:textId="77777777" w:rsidR="009A629F" w:rsidRPr="00F73491" w:rsidRDefault="009A629F" w:rsidP="004D1524">
      <w:pPr>
        <w:shd w:val="clear" w:color="auto" w:fill="FFFFFF"/>
        <w:rPr>
          <w:rFonts w:ascii="Calibri" w:eastAsia="Times New Roman" w:hAnsi="Calibri" w:cs="Arial"/>
          <w:color w:val="000000"/>
          <w:sz w:val="16"/>
          <w:szCs w:val="16"/>
          <w:lang w:eastAsia="en-GB"/>
        </w:rPr>
      </w:pPr>
      <w:r w:rsidRPr="00F73491">
        <w:rPr>
          <w:rFonts w:ascii="Calibri" w:eastAsia="Times New Roman" w:hAnsi="Calibri" w:cs="Arial"/>
          <w:color w:val="000000"/>
          <w:sz w:val="16"/>
          <w:szCs w:val="16"/>
          <w:lang w:eastAsia="en-GB"/>
        </w:rPr>
        <w:tab/>
        <w:t>(b)</w:t>
      </w:r>
      <w:r w:rsidRPr="00F73491">
        <w:rPr>
          <w:rFonts w:ascii="Calibri" w:eastAsia="Times New Roman" w:hAnsi="Calibri" w:cs="Arial"/>
          <w:color w:val="000000"/>
          <w:sz w:val="16"/>
          <w:szCs w:val="16"/>
          <w:lang w:eastAsia="en-GB"/>
        </w:rPr>
        <w:tab/>
        <w:t>such lower courts or tribunals as Parliament may by law establish.</w:t>
      </w:r>
    </w:p>
    <w:p w14:paraId="3D174EDF" w14:textId="77777777" w:rsidR="009A629F" w:rsidRPr="00F73491" w:rsidRDefault="009A629F" w:rsidP="004D1524">
      <w:pPr>
        <w:pStyle w:val="FootnoteText"/>
      </w:pPr>
      <w:r>
        <w:rPr>
          <w:rFonts w:eastAsia="Times New Roman" w:cs="Arial"/>
          <w:b/>
          <w:color w:val="000000"/>
          <w:szCs w:val="16"/>
          <w:lang w:eastAsia="en-GB"/>
        </w:rPr>
        <w:t xml:space="preserve">Article </w:t>
      </w:r>
      <w:r w:rsidRPr="009E4073">
        <w:rPr>
          <w:rFonts w:eastAsia="Times New Roman" w:cs="Arial"/>
          <w:b/>
          <w:color w:val="000000"/>
          <w:szCs w:val="16"/>
          <w:lang w:eastAsia="en-GB"/>
        </w:rPr>
        <w:t>143</w:t>
      </w:r>
      <w:r w:rsidRPr="009E4073">
        <w:rPr>
          <w:rFonts w:eastAsia="Times New Roman" w:cs="Arial"/>
          <w:color w:val="000000"/>
          <w:szCs w:val="16"/>
          <w:lang w:eastAsia="en-GB"/>
        </w:rPr>
        <w:t xml:space="preserve">  (1)  A Regional Tribunal shall have jurisdiction to try such offences against the State and the public interest as Parliament may, by law, prescribe. (2)  A Regional Tribunal shall have such appellate jurisdiction relating to the matters described in clause (1) of this article, as may be prescribed by law. (3)  For the purpose of hearing and determining an appeal within its jurisdiction and the amendment, execution or enforcement of a judgment or order on any appeal, and for the purposes of any other authority expressly or by necessary </w:t>
      </w:r>
      <w:r w:rsidRPr="00F73491">
        <w:rPr>
          <w:rFonts w:eastAsia="Times New Roman" w:cs="Arial"/>
          <w:color w:val="000000"/>
          <w:szCs w:val="16"/>
          <w:lang w:eastAsia="en-GB"/>
        </w:rPr>
        <w:t>implication given to it by this Constitution or any other law, a Regional Tribunal shall have all the powers, authority and jurisdiction vested in the tribunal from which the appeal is brought.</w:t>
      </w:r>
    </w:p>
  </w:footnote>
  <w:footnote w:id="55">
    <w:p w14:paraId="4239A44B"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w:t>
      </w:r>
      <w:r w:rsidRPr="004C08AE">
        <w:rPr>
          <w:rFonts w:ascii="Times New Roman" w:hAnsi="Times New Roman"/>
          <w:szCs w:val="16"/>
          <w:lang w:eastAsia="en-GB"/>
        </w:rPr>
        <w:t>Legal Aid Scheme Act, 1997 (Act 542), Section 5</w:t>
      </w:r>
    </w:p>
  </w:footnote>
  <w:footnote w:id="56">
    <w:p w14:paraId="38609E93" w14:textId="77777777" w:rsidR="009A629F" w:rsidRPr="00F0797D" w:rsidRDefault="009A629F" w:rsidP="004D1524">
      <w:pPr>
        <w:pStyle w:val="FootnoteText"/>
        <w:rPr>
          <w:rFonts w:ascii="Times New Roman" w:hAnsi="Times New Roman"/>
          <w:szCs w:val="16"/>
          <w:lang w:val="en-US"/>
        </w:rPr>
      </w:pPr>
      <w:r w:rsidRPr="004C08AE">
        <w:rPr>
          <w:rStyle w:val="FootnoteReference"/>
          <w:rFonts w:ascii="Times New Roman" w:hAnsi="Times New Roman"/>
          <w:szCs w:val="16"/>
        </w:rPr>
        <w:footnoteRef/>
      </w:r>
      <w:r w:rsidRPr="004C08AE">
        <w:rPr>
          <w:rFonts w:ascii="Times New Roman" w:hAnsi="Times New Roman"/>
          <w:szCs w:val="16"/>
        </w:rPr>
        <w:t xml:space="preserve"> </w:t>
      </w:r>
      <w:r w:rsidRPr="00F0797D">
        <w:rPr>
          <w:rFonts w:ascii="Times New Roman" w:hAnsi="Times New Roman"/>
          <w:szCs w:val="16"/>
          <w:lang w:val="en-US"/>
        </w:rPr>
        <w:t>Constitution, Article 36(9) and Article 41(k)</w:t>
      </w:r>
    </w:p>
  </w:footnote>
  <w:footnote w:id="57">
    <w:p w14:paraId="6DB03242"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Ghana Forest and Wildlife Policy, 2012, Policy Strategy 1.1.2 of Strategic Direction 1.1(p.15) Policy Strategy 5.1.1 (f) of Strategic Direction 5.1 (p 30)</w:t>
      </w:r>
    </w:p>
  </w:footnote>
  <w:footnote w:id="58">
    <w:p w14:paraId="1B850B69" w14:textId="77777777" w:rsidR="009A629F" w:rsidRPr="00F73491" w:rsidRDefault="009A629F" w:rsidP="004D1524">
      <w:pPr>
        <w:rPr>
          <w:rFonts w:ascii="Calibri" w:hAnsi="Calibri"/>
          <w:sz w:val="16"/>
          <w:szCs w:val="16"/>
        </w:rPr>
      </w:pPr>
      <w:r w:rsidRPr="00F73491">
        <w:rPr>
          <w:rStyle w:val="FootnoteReference"/>
          <w:rFonts w:ascii="Calibri" w:hAnsi="Calibri"/>
          <w:sz w:val="16"/>
          <w:szCs w:val="16"/>
        </w:rPr>
        <w:footnoteRef/>
      </w:r>
      <w:r w:rsidRPr="00F73491">
        <w:rPr>
          <w:rFonts w:ascii="Calibri" w:hAnsi="Calibri"/>
          <w:sz w:val="16"/>
          <w:szCs w:val="16"/>
        </w:rPr>
        <w:t xml:space="preserve"> Ghana Forest and Wildlife Policy, 2012, Policy Strategy 1.1.2 of Strategic Direction 1.1(p.15) Policy Strategy 5.1.1 (f) of Strategic Direction 5.1 (p 30)</w:t>
      </w:r>
    </w:p>
  </w:footnote>
  <w:footnote w:id="59">
    <w:p w14:paraId="5A137151" w14:textId="77777777" w:rsidR="009A629F" w:rsidRDefault="009A629F" w:rsidP="004D1524">
      <w:pPr>
        <w:pStyle w:val="FootnoteText"/>
      </w:pPr>
      <w:r>
        <w:rPr>
          <w:rStyle w:val="FootnoteReference"/>
        </w:rPr>
        <w:footnoteRef/>
      </w:r>
      <w:r>
        <w:t xml:space="preserve"> Constitution, Article 11</w:t>
      </w:r>
    </w:p>
  </w:footnote>
  <w:footnote w:id="60">
    <w:p w14:paraId="36EF16C7" w14:textId="77777777" w:rsidR="009A629F" w:rsidRDefault="009A629F" w:rsidP="004D1524">
      <w:pPr>
        <w:pStyle w:val="FootnoteText"/>
      </w:pPr>
      <w:r>
        <w:rPr>
          <w:rStyle w:val="FootnoteReference"/>
        </w:rPr>
        <w:footnoteRef/>
      </w:r>
      <w:r>
        <w:t xml:space="preserve"> </w:t>
      </w:r>
      <w:r w:rsidRPr="007F559B">
        <w:rPr>
          <w:lang w:val="en-US"/>
        </w:rPr>
        <w:t>Constitution, Article 11.  For the purposes of this article, “customary law” means the rules of law, which by custom are applicable to particular communities in Ghana.</w:t>
      </w:r>
    </w:p>
  </w:footnote>
  <w:footnote w:id="61">
    <w:p w14:paraId="0D49AEC8" w14:textId="77777777" w:rsidR="009A629F" w:rsidRPr="000F1104" w:rsidRDefault="009A629F" w:rsidP="004D1524">
      <w:pPr>
        <w:pStyle w:val="FootnoteText"/>
        <w:rPr>
          <w:rFonts w:cs="Calibri"/>
        </w:rPr>
      </w:pPr>
      <w:r>
        <w:rPr>
          <w:rStyle w:val="FootnoteReference"/>
        </w:rPr>
        <w:footnoteRef/>
      </w:r>
      <w:r w:rsidRPr="000F1104">
        <w:rPr>
          <w:rFonts w:cs="Calibri"/>
        </w:rPr>
        <w:t xml:space="preserve"> Constitution, Article 11</w:t>
      </w:r>
    </w:p>
  </w:footnote>
  <w:footnote w:id="62">
    <w:p w14:paraId="5EC2E401" w14:textId="77777777" w:rsidR="009A629F" w:rsidRDefault="009A629F" w:rsidP="004D1524">
      <w:pPr>
        <w:pStyle w:val="FootnoteText"/>
      </w:pPr>
      <w:r>
        <w:rPr>
          <w:rStyle w:val="FootnoteReference"/>
        </w:rPr>
        <w:footnoteRef/>
      </w:r>
      <w:r>
        <w:t xml:space="preserve"> </w:t>
      </w:r>
      <w:r w:rsidRPr="007F559B">
        <w:rPr>
          <w:lang w:val="en-US"/>
        </w:rPr>
        <w:t>Timber Resources Management Regulation 2002 (L.I 1649): Section 13 (b) and the Timber Resources Management (Amendment) Regulation 2003, (L.I 1721) Section 14 (1) (v)</w:t>
      </w:r>
    </w:p>
  </w:footnote>
  <w:footnote w:id="63">
    <w:p w14:paraId="75B1E0CA" w14:textId="77777777" w:rsidR="009A629F" w:rsidRPr="00CC0FA6" w:rsidRDefault="009A629F" w:rsidP="004D1524">
      <w:pPr>
        <w:pStyle w:val="FootnoteText"/>
        <w:rPr>
          <w:szCs w:val="16"/>
        </w:rPr>
      </w:pPr>
      <w:r w:rsidRPr="00CC0FA6">
        <w:rPr>
          <w:rStyle w:val="FootnoteReference"/>
          <w:szCs w:val="16"/>
        </w:rPr>
        <w:footnoteRef/>
      </w:r>
      <w:r w:rsidRPr="00CC0FA6">
        <w:rPr>
          <w:szCs w:val="16"/>
        </w:rPr>
        <w:t xml:space="preserve"> </w:t>
      </w:r>
      <w:r w:rsidRPr="00166CA4">
        <w:rPr>
          <w:szCs w:val="16"/>
        </w:rPr>
        <w:t>Constitution, Chapter 22 and Chieftaincy Act,2008 (Act 759).</w:t>
      </w:r>
    </w:p>
  </w:footnote>
  <w:footnote w:id="64">
    <w:p w14:paraId="44098AD6" w14:textId="77777777" w:rsidR="009A629F" w:rsidRPr="00015719" w:rsidRDefault="009A629F" w:rsidP="004D1524">
      <w:pPr>
        <w:pStyle w:val="FootnoteText"/>
        <w:rPr>
          <w:szCs w:val="16"/>
          <w:lang w:val="fr-FR"/>
        </w:rPr>
      </w:pPr>
      <w:r w:rsidRPr="00166CA4">
        <w:rPr>
          <w:rStyle w:val="FootnoteReference"/>
          <w:szCs w:val="16"/>
        </w:rPr>
        <w:footnoteRef/>
      </w:r>
      <w:r w:rsidRPr="00015719">
        <w:rPr>
          <w:szCs w:val="16"/>
          <w:lang w:val="fr-FR"/>
        </w:rPr>
        <w:t xml:space="preserve"> ADR Act, 2010 (Act 798), Part 3</w:t>
      </w:r>
    </w:p>
  </w:footnote>
  <w:footnote w:id="65">
    <w:p w14:paraId="3D200B7C" w14:textId="77777777" w:rsidR="009A629F" w:rsidRPr="00015719" w:rsidRDefault="009A629F" w:rsidP="004D1524">
      <w:pPr>
        <w:rPr>
          <w:rFonts w:ascii="Calibri" w:hAnsi="Calibri"/>
          <w:sz w:val="16"/>
          <w:szCs w:val="16"/>
          <w:lang w:val="fr-FR"/>
        </w:rPr>
      </w:pPr>
      <w:r w:rsidRPr="002867E8">
        <w:rPr>
          <w:rStyle w:val="FootnoteReference"/>
          <w:rFonts w:ascii="Calibri" w:hAnsi="Calibri"/>
          <w:sz w:val="16"/>
          <w:szCs w:val="16"/>
        </w:rPr>
        <w:footnoteRef/>
      </w:r>
      <w:r w:rsidRPr="00015719">
        <w:rPr>
          <w:rFonts w:ascii="Calibri" w:hAnsi="Calibri"/>
          <w:sz w:val="16"/>
          <w:szCs w:val="16"/>
          <w:lang w:val="fr-FR"/>
        </w:rPr>
        <w:t xml:space="preserve"> </w:t>
      </w:r>
      <w:r w:rsidRPr="00015719">
        <w:rPr>
          <w:rFonts w:ascii="Calibri" w:eastAsia="Times New Roman" w:hAnsi="Calibri"/>
          <w:sz w:val="16"/>
          <w:szCs w:val="16"/>
          <w:lang w:val="fr-FR" w:eastAsia="en-GB"/>
        </w:rPr>
        <w:t>Constitution, Article 267 (1):</w:t>
      </w:r>
    </w:p>
  </w:footnote>
  <w:footnote w:id="66">
    <w:p w14:paraId="1165626D" w14:textId="77777777" w:rsidR="009A629F" w:rsidRPr="004D1524" w:rsidRDefault="009A629F" w:rsidP="004D1524">
      <w:pPr>
        <w:pStyle w:val="FootnoteText"/>
        <w:rPr>
          <w:lang w:val="fr-FR"/>
        </w:rPr>
      </w:pPr>
      <w:r>
        <w:rPr>
          <w:rStyle w:val="FootnoteReference"/>
        </w:rPr>
        <w:footnoteRef/>
      </w:r>
      <w:r w:rsidRPr="004D1524">
        <w:rPr>
          <w:lang w:val="fr-FR"/>
        </w:rPr>
        <w:t xml:space="preserve"> Constitution, Article 11</w:t>
      </w:r>
    </w:p>
  </w:footnote>
  <w:footnote w:id="67">
    <w:p w14:paraId="797DA2EC" w14:textId="77777777" w:rsidR="009A629F" w:rsidRPr="004D1524" w:rsidRDefault="009A629F" w:rsidP="004D1524">
      <w:pPr>
        <w:pStyle w:val="FootnoteText"/>
        <w:rPr>
          <w:szCs w:val="16"/>
          <w:lang w:val="fr-FR"/>
        </w:rPr>
      </w:pPr>
      <w:r w:rsidRPr="007B62D1">
        <w:rPr>
          <w:rStyle w:val="FootnoteReference"/>
          <w:szCs w:val="16"/>
        </w:rPr>
        <w:footnoteRef/>
      </w:r>
      <w:r w:rsidRPr="004D1524">
        <w:rPr>
          <w:szCs w:val="16"/>
          <w:lang w:val="fr-FR"/>
        </w:rPr>
        <w:t xml:space="preserve"> Constitution, Article 26(1) </w:t>
      </w:r>
    </w:p>
  </w:footnote>
  <w:footnote w:id="68">
    <w:p w14:paraId="63E021D5" w14:textId="77777777" w:rsidR="009A629F" w:rsidRPr="004D1524" w:rsidRDefault="009A629F" w:rsidP="004D1524">
      <w:pPr>
        <w:rPr>
          <w:rFonts w:eastAsia="Times New Roman" w:cs="Arial"/>
          <w:color w:val="000000"/>
          <w:sz w:val="16"/>
          <w:szCs w:val="16"/>
          <w:lang w:val="fr-FR" w:eastAsia="en-GB"/>
        </w:rPr>
      </w:pPr>
      <w:r w:rsidRPr="000F1104">
        <w:rPr>
          <w:rStyle w:val="FootnoteReference"/>
          <w:rFonts w:ascii="Calibri" w:hAnsi="Calibri" w:cs="Calibri"/>
          <w:sz w:val="20"/>
          <w:szCs w:val="20"/>
        </w:rPr>
        <w:footnoteRef/>
      </w:r>
      <w:r w:rsidRPr="004D1524">
        <w:rPr>
          <w:rFonts w:ascii="Calibri" w:eastAsia="Times New Roman" w:hAnsi="Calibri" w:cs="Calibri"/>
          <w:color w:val="000000"/>
          <w:sz w:val="20"/>
          <w:szCs w:val="20"/>
          <w:lang w:val="fr-FR" w:eastAsia="en-GB"/>
        </w:rPr>
        <w:t>Constitution, Article 37. (2), Article 35 (6)(d), Article 240 (2), Article 125 (2)</w:t>
      </w:r>
    </w:p>
  </w:footnote>
  <w:footnote w:id="69">
    <w:p w14:paraId="287ECA03" w14:textId="77777777" w:rsidR="009A629F" w:rsidRDefault="009A629F" w:rsidP="004D1524">
      <w:pPr>
        <w:pStyle w:val="FootnoteText"/>
      </w:pPr>
      <w:r>
        <w:rPr>
          <w:rStyle w:val="FootnoteReference"/>
        </w:rPr>
        <w:footnoteRef/>
      </w:r>
      <w:r>
        <w:t xml:space="preserve"> </w:t>
      </w:r>
      <w:r w:rsidRPr="00535946">
        <w:t>Timber Resources Management Act, 1998 (Act 547), Section 4 (2) and Section 5(1); Environmental Assessment Regulation 1999, Section 17(1)</w:t>
      </w:r>
    </w:p>
  </w:footnote>
  <w:footnote w:id="70">
    <w:p w14:paraId="2318A291" w14:textId="77777777" w:rsidR="009A629F" w:rsidRPr="00F5475D" w:rsidRDefault="009A629F" w:rsidP="004D1524">
      <w:pPr>
        <w:spacing w:line="259" w:lineRule="auto"/>
        <w:rPr>
          <w:sz w:val="16"/>
          <w:szCs w:val="16"/>
        </w:rPr>
      </w:pPr>
      <w:r w:rsidRPr="00F5475D">
        <w:rPr>
          <w:rStyle w:val="FootnoteReference"/>
          <w:sz w:val="16"/>
          <w:szCs w:val="16"/>
        </w:rPr>
        <w:footnoteRef/>
      </w:r>
      <w:r w:rsidRPr="00F5475D">
        <w:rPr>
          <w:sz w:val="16"/>
          <w:szCs w:val="16"/>
        </w:rPr>
        <w:t xml:space="preserve"> Forest and Wildlife Policy, 2012, Paragraph 3.2.8 and 5.7.8</w:t>
      </w:r>
    </w:p>
  </w:footnote>
  <w:footnote w:id="71">
    <w:p w14:paraId="0321677A" w14:textId="77777777" w:rsidR="009A629F" w:rsidRDefault="009A629F" w:rsidP="004D1524">
      <w:pPr>
        <w:pStyle w:val="FootnoteText"/>
      </w:pPr>
      <w:r w:rsidRPr="0032603A">
        <w:rPr>
          <w:rStyle w:val="FootnoteReference"/>
        </w:rPr>
        <w:footnoteRef/>
      </w:r>
      <w:r w:rsidRPr="0032603A">
        <w:t xml:space="preserve"> </w:t>
      </w:r>
      <w:r w:rsidRPr="0032603A">
        <w:rPr>
          <w:bCs/>
          <w:lang w:val="en-US"/>
        </w:rPr>
        <w:t>Timber Resources Management (Legality Licensing) Regulations</w:t>
      </w:r>
      <w:r w:rsidRPr="0032603A">
        <w:rPr>
          <w:lang w:val="en-US"/>
        </w:rPr>
        <w:t xml:space="preserve"> 2 and 3</w:t>
      </w:r>
    </w:p>
  </w:footnote>
  <w:footnote w:id="72">
    <w:p w14:paraId="338B5BC8" w14:textId="77777777" w:rsidR="009A629F" w:rsidRPr="00F0797D" w:rsidRDefault="009A629F" w:rsidP="004D1524">
      <w:pPr>
        <w:pStyle w:val="FootnoteText"/>
        <w:rPr>
          <w:rFonts w:ascii="Candara" w:hAnsi="Candara"/>
          <w:b/>
          <w:szCs w:val="16"/>
        </w:rPr>
      </w:pPr>
      <w:r w:rsidRPr="00F0797D">
        <w:rPr>
          <w:rStyle w:val="FootnoteReference"/>
          <w:szCs w:val="16"/>
        </w:rPr>
        <w:footnoteRef/>
      </w:r>
      <w:r w:rsidRPr="00F0797D">
        <w:rPr>
          <w:szCs w:val="16"/>
        </w:rPr>
        <w:t xml:space="preserve"> </w:t>
      </w:r>
      <w:r w:rsidRPr="00F0797D">
        <w:rPr>
          <w:bCs/>
          <w:color w:val="000000"/>
          <w:spacing w:val="-4"/>
          <w:szCs w:val="16"/>
        </w:rPr>
        <w:t>Timber Resources Management (Legality Licensing) Regulations</w:t>
      </w:r>
      <w:r w:rsidRPr="00F0797D">
        <w:rPr>
          <w:szCs w:val="16"/>
        </w:rPr>
        <w:t xml:space="preserve"> 2 and 3; </w:t>
      </w:r>
      <w:r w:rsidRPr="00F0797D">
        <w:rPr>
          <w:rFonts w:ascii="Candara" w:hAnsi="Candara"/>
          <w:szCs w:val="16"/>
        </w:rPr>
        <w:t>Timber Resources Management Regulation 2002 (L.I 1649) Section 13 (b); Timber Resources Management (Amendment) Regulation 2003, (L.I 1721) Section 14 (1) (v)</w:t>
      </w:r>
    </w:p>
  </w:footnote>
  <w:footnote w:id="73">
    <w:p w14:paraId="044CE4CC" w14:textId="77777777" w:rsidR="009A629F" w:rsidRPr="00F0797D" w:rsidRDefault="009A629F" w:rsidP="004D1524">
      <w:pPr>
        <w:pStyle w:val="FootnoteText"/>
        <w:rPr>
          <w:szCs w:val="16"/>
        </w:rPr>
      </w:pPr>
      <w:r w:rsidRPr="00F0797D">
        <w:rPr>
          <w:rStyle w:val="FootnoteReference"/>
          <w:szCs w:val="16"/>
        </w:rPr>
        <w:footnoteRef/>
      </w:r>
      <w:r w:rsidRPr="00F0797D">
        <w:rPr>
          <w:szCs w:val="16"/>
        </w:rPr>
        <w:t xml:space="preserve"> Timber Resources Management Regulations, 1998 ( L.I 1649), Regulation 2; VPA between Ghana and European Union 2009, Article 16 sub (2)</w:t>
      </w:r>
    </w:p>
  </w:footnote>
  <w:footnote w:id="74">
    <w:p w14:paraId="14F22820" w14:textId="77777777" w:rsidR="009A629F" w:rsidRPr="00F0797D" w:rsidRDefault="009A629F" w:rsidP="004D1524">
      <w:pPr>
        <w:pStyle w:val="FootnoteText"/>
        <w:rPr>
          <w:szCs w:val="16"/>
        </w:rPr>
      </w:pPr>
      <w:r w:rsidRPr="00F0797D">
        <w:rPr>
          <w:rStyle w:val="FootnoteReference"/>
          <w:szCs w:val="16"/>
        </w:rPr>
        <w:footnoteRef/>
      </w:r>
      <w:r w:rsidRPr="00F0797D">
        <w:rPr>
          <w:szCs w:val="16"/>
        </w:rPr>
        <w:t xml:space="preserve"> Environmental Assessment Regulations, 1999 (L.I 1652) Regulation 9 and 12</w:t>
      </w:r>
    </w:p>
  </w:footnote>
  <w:footnote w:id="75">
    <w:p w14:paraId="28FA0814" w14:textId="77777777" w:rsidR="009A629F" w:rsidRPr="00F0797D" w:rsidRDefault="009A629F" w:rsidP="004D1524">
      <w:pPr>
        <w:pStyle w:val="FootnoteText"/>
        <w:rPr>
          <w:szCs w:val="16"/>
        </w:rPr>
      </w:pPr>
      <w:r w:rsidRPr="00F0797D">
        <w:rPr>
          <w:rStyle w:val="FootnoteReference"/>
          <w:szCs w:val="16"/>
        </w:rPr>
        <w:footnoteRef/>
      </w:r>
      <w:r w:rsidRPr="00F0797D">
        <w:rPr>
          <w:szCs w:val="16"/>
        </w:rPr>
        <w:t xml:space="preserve"> </w:t>
      </w:r>
      <w:r w:rsidRPr="00F0797D">
        <w:rPr>
          <w:szCs w:val="16"/>
          <w:lang w:val="en-US"/>
        </w:rPr>
        <w:t xml:space="preserve"> Environmental Assessment Regulations (LI 1652),  Regulation 17</w:t>
      </w:r>
    </w:p>
  </w:footnote>
  <w:footnote w:id="76">
    <w:p w14:paraId="1B14A070" w14:textId="77777777" w:rsidR="009A629F" w:rsidRPr="00F0797D" w:rsidRDefault="009A629F" w:rsidP="004D1524">
      <w:pPr>
        <w:pStyle w:val="FootnoteText"/>
        <w:rPr>
          <w:szCs w:val="16"/>
        </w:rPr>
      </w:pPr>
      <w:r w:rsidRPr="00F0797D">
        <w:rPr>
          <w:rStyle w:val="FootnoteReference"/>
          <w:szCs w:val="16"/>
        </w:rPr>
        <w:footnoteRef/>
      </w:r>
      <w:r w:rsidRPr="00F0797D">
        <w:rPr>
          <w:szCs w:val="16"/>
        </w:rPr>
        <w:t xml:space="preserve"> </w:t>
      </w:r>
      <w:r w:rsidRPr="00F0797D">
        <w:rPr>
          <w:szCs w:val="16"/>
          <w:lang w:val="en-US"/>
        </w:rPr>
        <w:t>Environmental Assessment Regulations 1999 (L.I 1652) Regulation 12</w:t>
      </w:r>
    </w:p>
  </w:footnote>
  <w:footnote w:id="77">
    <w:p w14:paraId="015BB2DF" w14:textId="77777777" w:rsidR="009A629F" w:rsidRPr="00B54449" w:rsidRDefault="009A629F" w:rsidP="004D1524">
      <w:pPr>
        <w:pStyle w:val="FootnoteText"/>
        <w:rPr>
          <w:szCs w:val="16"/>
        </w:rPr>
      </w:pPr>
      <w:r w:rsidRPr="00B54449">
        <w:rPr>
          <w:rStyle w:val="FootnoteReference"/>
          <w:szCs w:val="16"/>
        </w:rPr>
        <w:footnoteRef/>
      </w:r>
      <w:r w:rsidRPr="00B54449">
        <w:rPr>
          <w:szCs w:val="16"/>
        </w:rPr>
        <w:t xml:space="preserve"> Constitution, Article 36(9)</w:t>
      </w:r>
    </w:p>
  </w:footnote>
  <w:footnote w:id="78">
    <w:p w14:paraId="35E9C1BF" w14:textId="77777777" w:rsidR="009A629F" w:rsidRPr="00B54449" w:rsidRDefault="009A629F" w:rsidP="004D1524">
      <w:pPr>
        <w:pStyle w:val="FootnoteText"/>
        <w:rPr>
          <w:szCs w:val="16"/>
        </w:rPr>
      </w:pPr>
      <w:r w:rsidRPr="00B54449">
        <w:rPr>
          <w:rStyle w:val="FootnoteReference"/>
          <w:szCs w:val="16"/>
        </w:rPr>
        <w:footnoteRef/>
      </w:r>
      <w:r w:rsidRPr="00B54449">
        <w:rPr>
          <w:szCs w:val="16"/>
        </w:rPr>
        <w:t xml:space="preserve"> Environmental Protection Agency Act, 1994 (Act 490): Section 12</w:t>
      </w:r>
    </w:p>
  </w:footnote>
  <w:footnote w:id="79">
    <w:p w14:paraId="63BA80B8" w14:textId="77777777" w:rsidR="009A629F" w:rsidRPr="00B54449" w:rsidRDefault="009A629F" w:rsidP="004D1524">
      <w:pPr>
        <w:pStyle w:val="FootnoteText"/>
        <w:rPr>
          <w:szCs w:val="16"/>
        </w:rPr>
      </w:pPr>
      <w:r w:rsidRPr="00B54449">
        <w:rPr>
          <w:rStyle w:val="FootnoteReference"/>
          <w:szCs w:val="16"/>
        </w:rPr>
        <w:footnoteRef/>
      </w:r>
      <w:r w:rsidRPr="00B54449">
        <w:rPr>
          <w:szCs w:val="16"/>
        </w:rPr>
        <w:t xml:space="preserve"> Environmental Protection Agency Act, 1994 (Act 490): Section 12</w:t>
      </w:r>
    </w:p>
  </w:footnote>
  <w:footnote w:id="80">
    <w:p w14:paraId="04E91154"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Forests Ordinance Act, Section 2, Section 10, Section 17</w:t>
      </w:r>
    </w:p>
  </w:footnote>
  <w:footnote w:id="81">
    <w:p w14:paraId="7C4A6801"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Forests Act, Section 2, Section 10, Section 17; Forest Plantation Development Fund Act, Section 22; Traditional Medicine Practice Act, Section 42</w:t>
      </w:r>
    </w:p>
  </w:footnote>
  <w:footnote w:id="82">
    <w:p w14:paraId="4D84D9CF"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Constitution, Article 36(9)</w:t>
      </w:r>
    </w:p>
  </w:footnote>
  <w:footnote w:id="83">
    <w:p w14:paraId="7CA4C651"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Wetland Management (RAMSAR SITE) Regulations, Regulation 10 </w:t>
      </w:r>
    </w:p>
  </w:footnote>
  <w:footnote w:id="84">
    <w:p w14:paraId="585915BF"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Environmental Assessment Regulations, 1999 (L.I 1652), Regulation 1</w:t>
      </w:r>
    </w:p>
  </w:footnote>
  <w:footnote w:id="85">
    <w:p w14:paraId="6CA43832" w14:textId="77777777" w:rsidR="009A629F" w:rsidRPr="004C08AE" w:rsidRDefault="009A629F" w:rsidP="004D1524">
      <w:pPr>
        <w:pStyle w:val="FootnoteText"/>
        <w:rPr>
          <w:rFonts w:ascii="Times New Roman" w:hAnsi="Times New Roman"/>
          <w:szCs w:val="16"/>
        </w:rPr>
      </w:pPr>
      <w:r w:rsidRPr="004C08AE">
        <w:rPr>
          <w:rStyle w:val="FootnoteReference"/>
          <w:rFonts w:ascii="Times New Roman" w:hAnsi="Times New Roman"/>
          <w:szCs w:val="16"/>
        </w:rPr>
        <w:footnoteRef/>
      </w:r>
      <w:r w:rsidRPr="004C08AE">
        <w:rPr>
          <w:rFonts w:ascii="Times New Roman" w:hAnsi="Times New Roman"/>
          <w:szCs w:val="16"/>
        </w:rPr>
        <w:t xml:space="preserve"> Environmental Protection Agency Act, 1994 (Act 490): Section 12</w:t>
      </w:r>
    </w:p>
  </w:footnote>
  <w:footnote w:id="86">
    <w:p w14:paraId="730CC102" w14:textId="77777777" w:rsidR="009A629F" w:rsidRPr="00B54449" w:rsidRDefault="009A629F" w:rsidP="004D1524">
      <w:pPr>
        <w:pStyle w:val="FootnoteText"/>
        <w:rPr>
          <w:szCs w:val="16"/>
        </w:rPr>
      </w:pPr>
      <w:r w:rsidRPr="00B54449">
        <w:rPr>
          <w:rStyle w:val="FootnoteReference"/>
          <w:szCs w:val="16"/>
        </w:rPr>
        <w:footnoteRef/>
      </w:r>
      <w:r w:rsidRPr="00B54449">
        <w:rPr>
          <w:szCs w:val="16"/>
        </w:rPr>
        <w:t xml:space="preserve"> Constitution, Article 36(9)</w:t>
      </w:r>
    </w:p>
  </w:footnote>
  <w:footnote w:id="87">
    <w:p w14:paraId="4B556AD4" w14:textId="77777777" w:rsidR="009A629F" w:rsidRPr="00B54449" w:rsidRDefault="009A629F" w:rsidP="004D1524">
      <w:pPr>
        <w:pStyle w:val="FootnoteText"/>
        <w:rPr>
          <w:szCs w:val="16"/>
        </w:rPr>
      </w:pPr>
      <w:r w:rsidRPr="00B54449">
        <w:rPr>
          <w:rStyle w:val="FootnoteReference"/>
          <w:szCs w:val="16"/>
        </w:rPr>
        <w:footnoteRef/>
      </w:r>
      <w:r w:rsidRPr="00B54449">
        <w:rPr>
          <w:szCs w:val="16"/>
        </w:rPr>
        <w:t xml:space="preserve"> Environmental Assessment Regulations, 1999 (L.I 1652), Regulation 1</w:t>
      </w:r>
    </w:p>
  </w:footnote>
  <w:footnote w:id="88">
    <w:p w14:paraId="26F01FA8" w14:textId="77777777" w:rsidR="009A629F" w:rsidRPr="00B54449" w:rsidRDefault="009A629F" w:rsidP="004D1524">
      <w:pPr>
        <w:pStyle w:val="FootnoteText"/>
        <w:rPr>
          <w:szCs w:val="16"/>
        </w:rPr>
      </w:pPr>
      <w:r w:rsidRPr="00B54449">
        <w:rPr>
          <w:rStyle w:val="FootnoteReference"/>
          <w:szCs w:val="16"/>
        </w:rPr>
        <w:footnoteRef/>
      </w:r>
      <w:r w:rsidRPr="00B54449">
        <w:rPr>
          <w:szCs w:val="16"/>
        </w:rPr>
        <w:t xml:space="preserve"> Environmental Protection Agency Act, Section 2</w:t>
      </w:r>
    </w:p>
  </w:footnote>
  <w:footnote w:id="89">
    <w:p w14:paraId="64FB454C" w14:textId="77777777" w:rsidR="009A629F" w:rsidRPr="00B54449" w:rsidRDefault="009A629F" w:rsidP="004D1524">
      <w:pPr>
        <w:suppressOverlap/>
        <w:rPr>
          <w:rFonts w:ascii="Calibri" w:hAnsi="Calibri"/>
          <w:sz w:val="16"/>
          <w:szCs w:val="16"/>
        </w:rPr>
      </w:pPr>
      <w:r w:rsidRPr="00B54449">
        <w:rPr>
          <w:rStyle w:val="FootnoteReference"/>
          <w:rFonts w:ascii="Calibri" w:hAnsi="Calibri"/>
          <w:sz w:val="16"/>
          <w:szCs w:val="16"/>
        </w:rPr>
        <w:footnoteRef/>
      </w:r>
      <w:r w:rsidRPr="00B54449">
        <w:rPr>
          <w:rFonts w:ascii="Calibri" w:hAnsi="Calibri"/>
          <w:sz w:val="16"/>
          <w:szCs w:val="16"/>
        </w:rPr>
        <w:t xml:space="preserve"> Ghana Forest and Wildlife Policy, 2012: Policy Strategy 1.1.3, Ghana NBSAP action plan 2, 14, 15 and 16</w:t>
      </w:r>
    </w:p>
    <w:p w14:paraId="169E6993" w14:textId="77777777" w:rsidR="009A629F" w:rsidRPr="00B54449" w:rsidRDefault="009A629F" w:rsidP="004D1524">
      <w:pPr>
        <w:pStyle w:val="FootnoteText"/>
        <w:rPr>
          <w:szCs w:val="16"/>
        </w:rPr>
      </w:pPr>
    </w:p>
  </w:footnote>
  <w:footnote w:id="90">
    <w:p w14:paraId="5644F4A2" w14:textId="77777777" w:rsidR="009A629F" w:rsidRPr="00B54449" w:rsidRDefault="009A629F" w:rsidP="004D1524">
      <w:pPr>
        <w:rPr>
          <w:rFonts w:ascii="Calibri" w:hAnsi="Calibri"/>
          <w:sz w:val="16"/>
          <w:szCs w:val="16"/>
        </w:rPr>
      </w:pPr>
      <w:r w:rsidRPr="00B54449">
        <w:rPr>
          <w:rStyle w:val="FootnoteReference"/>
          <w:rFonts w:ascii="Calibri" w:hAnsi="Calibri"/>
          <w:sz w:val="16"/>
          <w:szCs w:val="16"/>
        </w:rPr>
        <w:footnoteRef/>
      </w:r>
      <w:r w:rsidRPr="00B54449">
        <w:rPr>
          <w:rFonts w:ascii="Calibri" w:hAnsi="Calibri"/>
          <w:sz w:val="16"/>
          <w:szCs w:val="16"/>
        </w:rPr>
        <w:t xml:space="preserve"> Constitution, Article 35 (6) (d) and Article 41 (k).</w:t>
      </w:r>
    </w:p>
  </w:footnote>
  <w:footnote w:id="91">
    <w:p w14:paraId="2E69C897" w14:textId="77777777" w:rsidR="009A629F" w:rsidRPr="00B54449" w:rsidRDefault="009A629F" w:rsidP="004D1524">
      <w:pPr>
        <w:rPr>
          <w:rFonts w:ascii="Calibri" w:hAnsi="Calibri"/>
          <w:sz w:val="16"/>
          <w:szCs w:val="16"/>
        </w:rPr>
      </w:pPr>
      <w:r w:rsidRPr="00B54449">
        <w:rPr>
          <w:rStyle w:val="FootnoteReference"/>
          <w:rFonts w:ascii="Calibri" w:hAnsi="Calibri"/>
          <w:sz w:val="16"/>
          <w:szCs w:val="16"/>
        </w:rPr>
        <w:footnoteRef/>
      </w:r>
      <w:r w:rsidRPr="00B54449">
        <w:rPr>
          <w:rFonts w:ascii="Calibri" w:hAnsi="Calibri"/>
          <w:sz w:val="16"/>
          <w:szCs w:val="16"/>
        </w:rPr>
        <w:t xml:space="preserve"> Control and Prevention of Bushfires Act, 1990 (PNDCL 229) Sections 1 and 9 </w:t>
      </w:r>
    </w:p>
  </w:footnote>
  <w:footnote w:id="92">
    <w:p w14:paraId="2B410540" w14:textId="77777777" w:rsidR="009A629F" w:rsidRPr="00B54449" w:rsidRDefault="009A629F" w:rsidP="004D1524">
      <w:pPr>
        <w:rPr>
          <w:rFonts w:ascii="Calibri" w:hAnsi="Calibri"/>
          <w:sz w:val="16"/>
          <w:szCs w:val="16"/>
        </w:rPr>
      </w:pPr>
      <w:r w:rsidRPr="00B54449">
        <w:rPr>
          <w:rStyle w:val="FootnoteReference"/>
          <w:rFonts w:ascii="Calibri" w:hAnsi="Calibri"/>
          <w:sz w:val="16"/>
          <w:szCs w:val="16"/>
        </w:rPr>
        <w:footnoteRef/>
      </w:r>
      <w:r w:rsidRPr="00B54449">
        <w:rPr>
          <w:rFonts w:ascii="Calibri" w:hAnsi="Calibri"/>
          <w:sz w:val="16"/>
          <w:szCs w:val="16"/>
        </w:rPr>
        <w:t xml:space="preserve"> Timber Operations (Government Participation) Act, 1972 (NRCD 139): Section 8(2), (3) and (4) (2); Forests Protection Act, 1974 (NRCD 243), Section 2; Trees and Timber Act, 1974 (NRCD 273): Section</w:t>
      </w:r>
    </w:p>
  </w:footnote>
  <w:footnote w:id="93">
    <w:p w14:paraId="78732B28" w14:textId="77777777" w:rsidR="009A629F" w:rsidRPr="00F011D6" w:rsidRDefault="009A629F" w:rsidP="004D1524">
      <w:pPr>
        <w:pStyle w:val="FootnoteText"/>
        <w:rPr>
          <w:szCs w:val="16"/>
          <w:highlight w:val="yellow"/>
        </w:rPr>
      </w:pPr>
      <w:r w:rsidRPr="00B54449">
        <w:rPr>
          <w:rStyle w:val="FootnoteReference"/>
          <w:szCs w:val="16"/>
        </w:rPr>
        <w:footnoteRef/>
      </w:r>
      <w:r w:rsidRPr="00B54449">
        <w:rPr>
          <w:szCs w:val="16"/>
        </w:rPr>
        <w:t xml:space="preserve"> Timber Resource Management (Legality Licensing) Regulations Regulation 13(6) (b of L.I 2184 OF 2012 )</w:t>
      </w:r>
    </w:p>
  </w:footnote>
  <w:footnote w:id="94">
    <w:p w14:paraId="3C4E7055" w14:textId="5768CA09" w:rsidR="009A629F" w:rsidRDefault="009A629F">
      <w:pPr>
        <w:pStyle w:val="FootnoteText"/>
      </w:pPr>
      <w:r>
        <w:rPr>
          <w:rStyle w:val="FootnoteReference"/>
        </w:rPr>
        <w:footnoteRef/>
      </w:r>
      <w:r>
        <w:t xml:space="preserve"> </w:t>
      </w:r>
      <w:r w:rsidRPr="002334FB">
        <w:t>Braña Varela, J., Lee, D., Rey Christen, D., and Swan, S. 2014. “REDD+ Safeguards: Practical Considerations for Developing a Summary of Information.” Prepared with support from the Government of Norway’s International Climate and Forest Initiative. Available at www.merid.org/reddsafeguards.</w:t>
      </w:r>
    </w:p>
  </w:footnote>
  <w:footnote w:id="95">
    <w:p w14:paraId="2C5D6BCD" w14:textId="77777777" w:rsidR="009A629F" w:rsidRDefault="009A629F" w:rsidP="00E65E43">
      <w:pPr>
        <w:pStyle w:val="FootnoteText"/>
      </w:pPr>
      <w:r>
        <w:rPr>
          <w:rStyle w:val="FootnoteReference"/>
        </w:rPr>
        <w:footnoteRef/>
      </w:r>
      <w:r>
        <w:t xml:space="preserve"> </w:t>
      </w:r>
      <w:bookmarkStart w:id="15" w:name="_Hlk523313066"/>
      <w:r w:rsidRPr="008A5FDB">
        <w:rPr>
          <w:szCs w:val="16"/>
        </w:rPr>
        <w:t>Forest Carbon Partnership Fund, Emission Reduction Programme Documen</w:t>
      </w:r>
      <w:r w:rsidRPr="0075455D">
        <w:rPr>
          <w:szCs w:val="16"/>
        </w:rPr>
        <w:t>t, Ghana Cocoa REDD+ Programme, April 2017</w:t>
      </w:r>
      <w:bookmarkEnd w:id="15"/>
    </w:p>
  </w:footnote>
  <w:footnote w:id="96">
    <w:p w14:paraId="73CD4964" w14:textId="77777777" w:rsidR="009A629F" w:rsidRPr="00D75BE8" w:rsidRDefault="009A629F" w:rsidP="00D75BE8">
      <w:pPr>
        <w:pStyle w:val="FootnoteText"/>
        <w:rPr>
          <w:rFonts w:cs="Calibri"/>
          <w:i/>
          <w:szCs w:val="16"/>
        </w:rPr>
      </w:pPr>
      <w:r w:rsidRPr="00D75BE8">
        <w:rPr>
          <w:rStyle w:val="FootnoteReference"/>
          <w:rFonts w:cs="Calibri"/>
          <w:szCs w:val="16"/>
        </w:rPr>
        <w:footnoteRef/>
      </w:r>
      <w:r w:rsidRPr="00D75BE8">
        <w:rPr>
          <w:rFonts w:cs="Calibri"/>
          <w:szCs w:val="16"/>
        </w:rPr>
        <w:t xml:space="preserve"> Constitution of the Republic of Ghana, 1992, Article 75 </w:t>
      </w:r>
    </w:p>
  </w:footnote>
  <w:footnote w:id="97">
    <w:p w14:paraId="25857878" w14:textId="77777777" w:rsidR="009A629F" w:rsidRPr="00D75BE8" w:rsidRDefault="009A629F" w:rsidP="00D75BE8">
      <w:pPr>
        <w:pStyle w:val="FootnoteText"/>
        <w:rPr>
          <w:rFonts w:cs="Calibri"/>
          <w:szCs w:val="16"/>
        </w:rPr>
      </w:pPr>
      <w:r w:rsidRPr="00D75BE8">
        <w:rPr>
          <w:rStyle w:val="FootnoteReference"/>
          <w:rFonts w:cs="Calibri"/>
          <w:szCs w:val="16"/>
        </w:rPr>
        <w:footnoteRef/>
      </w:r>
      <w:r w:rsidRPr="00D75BE8">
        <w:rPr>
          <w:rFonts w:cs="Calibri"/>
          <w:szCs w:val="16"/>
        </w:rPr>
        <w:t xml:space="preserve"> Article 11 (1) (b) (1) The Laws of Ghana shall comprise enactments made by or under the authority of the Parliament established by this Constitution; and Article 75 (2) (a). Republic v. High Court Commercial Division Accra, Ex parte Attorney General (Interested Parties NML Capital Ltd and the Republic of Argentina)  (Civil motion, No. J5/10/20113, 20</w:t>
      </w:r>
      <w:r w:rsidRPr="00D75BE8">
        <w:rPr>
          <w:rFonts w:cs="Calibri"/>
          <w:szCs w:val="16"/>
          <w:vertAlign w:val="superscript"/>
        </w:rPr>
        <w:t>th</w:t>
      </w:r>
      <w:r w:rsidRPr="00D75BE8">
        <w:rPr>
          <w:rFonts w:cs="Calibri"/>
          <w:szCs w:val="16"/>
        </w:rPr>
        <w:t xml:space="preserve"> June 2013) Unreported.   </w:t>
      </w:r>
    </w:p>
  </w:footnote>
  <w:footnote w:id="98">
    <w:p w14:paraId="4216AE18" w14:textId="77777777" w:rsidR="009A629F" w:rsidRPr="00D75BE8" w:rsidRDefault="009A629F" w:rsidP="00D75BE8">
      <w:pPr>
        <w:pStyle w:val="FootnoteText"/>
        <w:rPr>
          <w:rFonts w:cs="Calibri"/>
          <w:szCs w:val="16"/>
        </w:rPr>
      </w:pPr>
      <w:r w:rsidRPr="00D75BE8">
        <w:rPr>
          <w:rStyle w:val="FootnoteReference"/>
          <w:rFonts w:cs="Calibri"/>
          <w:szCs w:val="16"/>
        </w:rPr>
        <w:footnoteRef/>
      </w:r>
      <w:r w:rsidRPr="00D75BE8">
        <w:rPr>
          <w:rFonts w:cs="Calibri"/>
          <w:szCs w:val="16"/>
        </w:rPr>
        <w:t xml:space="preserve"> </w:t>
      </w:r>
      <w:r w:rsidRPr="00D75BE8">
        <w:rPr>
          <w:rFonts w:eastAsia="Calibri" w:cs="Calibri"/>
          <w:szCs w:val="16"/>
        </w:rPr>
        <w:t>Forest Carbon Partnership Fund, Emission Reduction Programme Document, Ghana Cocoa REDD+ Programme, April 2017</w:t>
      </w:r>
    </w:p>
  </w:footnote>
  <w:footnote w:id="99">
    <w:p w14:paraId="0DFD181E" w14:textId="77777777" w:rsidR="009A629F" w:rsidRPr="00D75BE8" w:rsidRDefault="009A629F" w:rsidP="00D75BE8">
      <w:pPr>
        <w:pStyle w:val="FootnoteText"/>
        <w:rPr>
          <w:rFonts w:cs="Calibri"/>
          <w:szCs w:val="16"/>
        </w:rPr>
      </w:pPr>
      <w:r w:rsidRPr="00D75BE8">
        <w:rPr>
          <w:rStyle w:val="FootnoteReference"/>
          <w:rFonts w:cs="Calibri"/>
          <w:szCs w:val="16"/>
        </w:rPr>
        <w:footnoteRef/>
      </w:r>
      <w:r w:rsidRPr="00D75BE8">
        <w:rPr>
          <w:rFonts w:cs="Calibri"/>
          <w:szCs w:val="16"/>
        </w:rPr>
        <w:t xml:space="preserve"> Ghana Forest and Wildlife Policy (2012)  Policy Strategy 4.1.1(a) of Strategic Direction 4.1 (p. 26)</w:t>
      </w:r>
    </w:p>
  </w:footnote>
  <w:footnote w:id="100">
    <w:p w14:paraId="4192E847" w14:textId="77777777" w:rsidR="009A629F" w:rsidRPr="00D75BE8" w:rsidRDefault="009A629F" w:rsidP="00D75BE8">
      <w:pPr>
        <w:pStyle w:val="FootnoteText"/>
        <w:rPr>
          <w:rFonts w:cs="Calibri"/>
          <w:szCs w:val="16"/>
        </w:rPr>
      </w:pPr>
      <w:r w:rsidRPr="00D75BE8">
        <w:rPr>
          <w:rStyle w:val="FootnoteReference"/>
          <w:rFonts w:cs="Calibri"/>
          <w:szCs w:val="16"/>
        </w:rPr>
        <w:footnoteRef/>
      </w:r>
      <w:r w:rsidRPr="00D75BE8">
        <w:rPr>
          <w:rFonts w:cs="Calibri"/>
          <w:szCs w:val="16"/>
        </w:rPr>
        <w:t xml:space="preserve"> Constitution, Chapter 22; ADR Act, 2010(Act 798), Part Three</w:t>
      </w:r>
    </w:p>
  </w:footnote>
  <w:footnote w:id="101">
    <w:p w14:paraId="3BE5BA2B" w14:textId="77777777" w:rsidR="009A629F" w:rsidRPr="00D75BE8" w:rsidRDefault="009A629F" w:rsidP="00D75BE8">
      <w:pPr>
        <w:shd w:val="clear" w:color="auto" w:fill="FFFFFF"/>
        <w:rPr>
          <w:rFonts w:eastAsia="Times New Roman" w:cs="Calibri"/>
          <w:color w:val="000000"/>
          <w:sz w:val="16"/>
          <w:szCs w:val="16"/>
          <w:lang w:eastAsia="en-GB"/>
        </w:rPr>
      </w:pPr>
      <w:r w:rsidRPr="00D75BE8">
        <w:rPr>
          <w:rStyle w:val="FootnoteReference"/>
          <w:rFonts w:cs="Calibri"/>
          <w:sz w:val="16"/>
          <w:szCs w:val="16"/>
        </w:rPr>
        <w:footnoteRef/>
      </w:r>
      <w:r w:rsidRPr="00D75BE8">
        <w:rPr>
          <w:rFonts w:cs="Calibri"/>
          <w:sz w:val="16"/>
          <w:szCs w:val="16"/>
        </w:rPr>
        <w:t xml:space="preserve"> </w:t>
      </w:r>
      <w:r w:rsidRPr="00D75BE8">
        <w:rPr>
          <w:rFonts w:eastAsia="Times New Roman" w:cs="Calibri"/>
          <w:color w:val="000000"/>
          <w:sz w:val="16"/>
          <w:szCs w:val="16"/>
          <w:lang w:eastAsia="en-GB"/>
        </w:rPr>
        <w:t>Timber Resources Management Act, 1998 (Act 547), Section 4 (2) and Section 5(1); Environmental Assessment Regulation 1999, Section 17(1)</w:t>
      </w:r>
    </w:p>
  </w:footnote>
  <w:footnote w:id="102">
    <w:p w14:paraId="7723DD4F" w14:textId="77777777" w:rsidR="009A629F" w:rsidRPr="00D75BE8" w:rsidRDefault="009A629F" w:rsidP="00D75BE8">
      <w:pPr>
        <w:rPr>
          <w:rFonts w:cs="Calibri"/>
          <w:i/>
          <w:sz w:val="16"/>
          <w:szCs w:val="16"/>
        </w:rPr>
      </w:pPr>
      <w:r w:rsidRPr="00D75BE8">
        <w:rPr>
          <w:rStyle w:val="FootnoteReference"/>
          <w:rFonts w:cs="Calibri"/>
          <w:sz w:val="16"/>
          <w:szCs w:val="16"/>
        </w:rPr>
        <w:footnoteRef/>
      </w:r>
      <w:r w:rsidRPr="00D75BE8">
        <w:rPr>
          <w:rFonts w:cs="Calibri"/>
          <w:sz w:val="16"/>
          <w:szCs w:val="16"/>
        </w:rPr>
        <w:t xml:space="preserve"> </w:t>
      </w:r>
      <w:r w:rsidRPr="00D75BE8">
        <w:rPr>
          <w:rFonts w:cs="Calibri"/>
          <w:bCs/>
          <w:color w:val="000000"/>
          <w:spacing w:val="-4"/>
          <w:sz w:val="16"/>
          <w:szCs w:val="16"/>
        </w:rPr>
        <w:t>Timber Resources Management (Legality Licensing) Regulations</w:t>
      </w:r>
      <w:r w:rsidRPr="00D75BE8">
        <w:rPr>
          <w:rFonts w:cs="Calibri"/>
          <w:sz w:val="16"/>
          <w:szCs w:val="16"/>
        </w:rPr>
        <w:t xml:space="preserve"> 2 and 3</w:t>
      </w:r>
    </w:p>
  </w:footnote>
  <w:footnote w:id="103">
    <w:p w14:paraId="35EE09CC" w14:textId="77777777" w:rsidR="009A629F" w:rsidRPr="00D75BE8" w:rsidRDefault="009A629F" w:rsidP="00D75BE8">
      <w:pPr>
        <w:pStyle w:val="FootnoteText"/>
        <w:rPr>
          <w:rFonts w:cs="Calibri"/>
          <w:b/>
          <w:szCs w:val="16"/>
        </w:rPr>
      </w:pPr>
      <w:r w:rsidRPr="00D75BE8">
        <w:rPr>
          <w:rStyle w:val="FootnoteReference"/>
          <w:rFonts w:cs="Calibri"/>
          <w:szCs w:val="16"/>
        </w:rPr>
        <w:footnoteRef/>
      </w:r>
      <w:r w:rsidRPr="00D75BE8">
        <w:rPr>
          <w:rFonts w:cs="Calibri"/>
          <w:szCs w:val="16"/>
        </w:rPr>
        <w:t xml:space="preserve"> </w:t>
      </w:r>
      <w:r w:rsidRPr="00D75BE8">
        <w:rPr>
          <w:rFonts w:cs="Calibri"/>
          <w:bCs/>
          <w:color w:val="000000"/>
          <w:spacing w:val="-4"/>
          <w:szCs w:val="16"/>
        </w:rPr>
        <w:t>Timber Resources Management (Legality Licensing) Regulations</w:t>
      </w:r>
      <w:r w:rsidRPr="00D75BE8">
        <w:rPr>
          <w:rFonts w:cs="Calibri"/>
          <w:szCs w:val="16"/>
        </w:rPr>
        <w:t xml:space="preserve"> 2 and 3; Timber Resources Management Regulation 2002 (L.I 1649) Section 13 (b); Timber Resources Management (Amendment) Regulation 2003, (L.I 1721) Section 14 (1) (v)</w:t>
      </w:r>
    </w:p>
  </w:footnote>
  <w:footnote w:id="104">
    <w:p w14:paraId="5C9E4F19" w14:textId="77777777" w:rsidR="009A629F" w:rsidRPr="00B54449" w:rsidRDefault="009A629F" w:rsidP="00D75BE8">
      <w:pPr>
        <w:pStyle w:val="FootnoteText"/>
        <w:rPr>
          <w:szCs w:val="16"/>
        </w:rPr>
      </w:pPr>
      <w:r w:rsidRPr="00B54449">
        <w:rPr>
          <w:rStyle w:val="FootnoteReference"/>
          <w:szCs w:val="16"/>
        </w:rPr>
        <w:footnoteRef/>
      </w:r>
      <w:r w:rsidRPr="00B54449">
        <w:rPr>
          <w:szCs w:val="16"/>
        </w:rPr>
        <w:t xml:space="preserve"> Constitution, Article 36(9)</w:t>
      </w:r>
    </w:p>
  </w:footnote>
  <w:footnote w:id="105">
    <w:p w14:paraId="404D5D88" w14:textId="77777777" w:rsidR="009A629F" w:rsidRPr="00B54449" w:rsidRDefault="009A629F" w:rsidP="00D75BE8">
      <w:pPr>
        <w:pStyle w:val="FootnoteText"/>
        <w:rPr>
          <w:szCs w:val="16"/>
        </w:rPr>
      </w:pPr>
      <w:r w:rsidRPr="00B54449">
        <w:rPr>
          <w:rStyle w:val="FootnoteReference"/>
          <w:szCs w:val="16"/>
        </w:rPr>
        <w:footnoteRef/>
      </w:r>
      <w:r w:rsidRPr="00B54449">
        <w:rPr>
          <w:szCs w:val="16"/>
        </w:rPr>
        <w:t xml:space="preserve"> Environmental Protection Agency Act, 1994 (Act 490): Section 12</w:t>
      </w:r>
    </w:p>
  </w:footnote>
  <w:footnote w:id="106">
    <w:p w14:paraId="7309F003" w14:textId="77777777" w:rsidR="009A629F" w:rsidRPr="00B54449" w:rsidRDefault="009A629F" w:rsidP="00D75BE8">
      <w:pPr>
        <w:pStyle w:val="FootnoteText"/>
        <w:rPr>
          <w:szCs w:val="16"/>
        </w:rPr>
      </w:pPr>
      <w:r w:rsidRPr="00B54449">
        <w:rPr>
          <w:rStyle w:val="FootnoteReference"/>
          <w:szCs w:val="16"/>
        </w:rPr>
        <w:footnoteRef/>
      </w:r>
      <w:r w:rsidRPr="00B54449">
        <w:rPr>
          <w:szCs w:val="16"/>
        </w:rPr>
        <w:t xml:space="preserve"> Environmental Protection Agency Act, 1994 (Act 490): Section 12</w:t>
      </w:r>
    </w:p>
  </w:footnote>
  <w:footnote w:id="107">
    <w:p w14:paraId="5F49997A" w14:textId="77777777" w:rsidR="009A629F" w:rsidRPr="00B83E6E" w:rsidRDefault="009A629F" w:rsidP="00D75BE8">
      <w:pPr>
        <w:pStyle w:val="FootnoteText"/>
        <w:rPr>
          <w:szCs w:val="16"/>
        </w:rPr>
      </w:pPr>
      <w:r w:rsidRPr="00B83E6E">
        <w:rPr>
          <w:rStyle w:val="FootnoteReference"/>
          <w:szCs w:val="16"/>
        </w:rPr>
        <w:footnoteRef/>
      </w:r>
      <w:r w:rsidRPr="00B83E6E">
        <w:rPr>
          <w:szCs w:val="16"/>
        </w:rPr>
        <w:t xml:space="preserve"> Environmental Protection Agency Act, Section 2</w:t>
      </w:r>
    </w:p>
  </w:footnote>
  <w:footnote w:id="108">
    <w:p w14:paraId="2591B6DD" w14:textId="77777777" w:rsidR="009A629F" w:rsidRPr="00B54449" w:rsidRDefault="009A629F" w:rsidP="00D75BE8">
      <w:pPr>
        <w:suppressOverlap/>
        <w:rPr>
          <w:rFonts w:ascii="Calibri" w:hAnsi="Calibri"/>
          <w:sz w:val="16"/>
          <w:szCs w:val="16"/>
        </w:rPr>
      </w:pPr>
      <w:r w:rsidRPr="00B54449">
        <w:rPr>
          <w:rStyle w:val="FootnoteReference"/>
          <w:rFonts w:ascii="Calibri" w:hAnsi="Calibri"/>
          <w:sz w:val="16"/>
          <w:szCs w:val="16"/>
        </w:rPr>
        <w:footnoteRef/>
      </w:r>
      <w:r w:rsidRPr="00B54449">
        <w:rPr>
          <w:rFonts w:ascii="Calibri" w:hAnsi="Calibri"/>
          <w:sz w:val="16"/>
          <w:szCs w:val="16"/>
        </w:rPr>
        <w:t xml:space="preserve"> Ghana Forest and Wildlife Policy, 2012: Policy Strategy 1.1.3, Ghana NBSAP action plan 2, 14, 15 and 16</w:t>
      </w:r>
    </w:p>
    <w:p w14:paraId="6220F215" w14:textId="77777777" w:rsidR="009A629F" w:rsidRPr="00B54449" w:rsidRDefault="009A629F" w:rsidP="00D75BE8">
      <w:pPr>
        <w:pStyle w:val="FootnoteText"/>
        <w:rPr>
          <w:szCs w:val="16"/>
        </w:rPr>
      </w:pPr>
    </w:p>
  </w:footnote>
  <w:footnote w:id="109">
    <w:p w14:paraId="6AAF6276" w14:textId="77777777" w:rsidR="009A629F" w:rsidRDefault="009A629F" w:rsidP="001A1FEA">
      <w:pPr>
        <w:pStyle w:val="FootnoteText"/>
      </w:pPr>
      <w:r>
        <w:rPr>
          <w:rStyle w:val="FootnoteReference"/>
        </w:rPr>
        <w:footnoteRef/>
      </w:r>
      <w:r>
        <w:t xml:space="preserve"> </w:t>
      </w:r>
      <w:r w:rsidRPr="009E0BB5">
        <w:t>Constitution, Article 35 (6) (d) and Article 41 (k).</w:t>
      </w:r>
    </w:p>
  </w:footnote>
  <w:footnote w:id="110">
    <w:p w14:paraId="65613835" w14:textId="77777777" w:rsidR="009A629F" w:rsidRPr="00B54449" w:rsidRDefault="009A629F" w:rsidP="001A1FEA">
      <w:pPr>
        <w:rPr>
          <w:rFonts w:ascii="Calibri" w:hAnsi="Calibri"/>
          <w:sz w:val="16"/>
          <w:szCs w:val="16"/>
        </w:rPr>
      </w:pPr>
      <w:r w:rsidRPr="00B54449">
        <w:rPr>
          <w:rStyle w:val="FootnoteReference"/>
          <w:rFonts w:ascii="Calibri" w:hAnsi="Calibri"/>
          <w:sz w:val="16"/>
          <w:szCs w:val="16"/>
        </w:rPr>
        <w:footnoteRef/>
      </w:r>
      <w:r w:rsidRPr="00B54449">
        <w:rPr>
          <w:rFonts w:ascii="Calibri" w:hAnsi="Calibri"/>
          <w:sz w:val="16"/>
          <w:szCs w:val="16"/>
        </w:rPr>
        <w:t xml:space="preserve"> Control and Prevention of Bushfires Act, 1990 (PNDCL 229) Sections 1 and 9 </w:t>
      </w:r>
    </w:p>
  </w:footnote>
  <w:footnote w:id="111">
    <w:p w14:paraId="5DB6464F" w14:textId="77777777" w:rsidR="009A629F" w:rsidRPr="00B54449" w:rsidRDefault="009A629F" w:rsidP="001A1FEA">
      <w:pPr>
        <w:rPr>
          <w:rFonts w:ascii="Calibri" w:hAnsi="Calibri"/>
          <w:sz w:val="16"/>
          <w:szCs w:val="16"/>
        </w:rPr>
      </w:pPr>
      <w:r w:rsidRPr="00B54449">
        <w:rPr>
          <w:rStyle w:val="FootnoteReference"/>
          <w:rFonts w:ascii="Calibri" w:hAnsi="Calibri"/>
          <w:sz w:val="16"/>
          <w:szCs w:val="16"/>
        </w:rPr>
        <w:footnoteRef/>
      </w:r>
      <w:r w:rsidRPr="00B54449">
        <w:rPr>
          <w:rFonts w:ascii="Calibri" w:hAnsi="Calibri"/>
          <w:sz w:val="16"/>
          <w:szCs w:val="16"/>
        </w:rPr>
        <w:t xml:space="preserve"> Timber Operations (Government Participation) Act, 1972 (NRCD 139): Section 8(2), (3) and (4) (2); Forests Protection Act, 1974 (NRCD 243), Section 2; Trees and Timber Act, 1974 (NRCD 273): Section</w:t>
      </w:r>
    </w:p>
  </w:footnote>
  <w:footnote w:id="112">
    <w:p w14:paraId="34B4249C" w14:textId="77777777" w:rsidR="009A629F" w:rsidRPr="00F011D6" w:rsidRDefault="009A629F" w:rsidP="001A1FEA">
      <w:pPr>
        <w:pStyle w:val="FootnoteText"/>
        <w:rPr>
          <w:szCs w:val="16"/>
          <w:highlight w:val="yellow"/>
        </w:rPr>
      </w:pPr>
      <w:r w:rsidRPr="00B54449">
        <w:rPr>
          <w:rStyle w:val="FootnoteReference"/>
          <w:szCs w:val="16"/>
        </w:rPr>
        <w:footnoteRef/>
      </w:r>
      <w:r w:rsidRPr="00B54449">
        <w:rPr>
          <w:szCs w:val="16"/>
        </w:rPr>
        <w:t xml:space="preserve"> Timber Resource Management (Legality Licensing) Regulations Regulation 13(6) (b of L.I 2184 OF 2012 )</w:t>
      </w:r>
    </w:p>
  </w:footnote>
  <w:footnote w:id="113">
    <w:p w14:paraId="7DED3B53" w14:textId="77777777" w:rsidR="009A629F" w:rsidRDefault="009A629F" w:rsidP="001A1FEA">
      <w:pPr>
        <w:pStyle w:val="FootnoteText"/>
      </w:pPr>
      <w:r>
        <w:rPr>
          <w:rStyle w:val="FootnoteReference"/>
        </w:rPr>
        <w:footnoteRef/>
      </w:r>
      <w:r>
        <w:t xml:space="preserve"> Ghana Cocoa-Forest REDD+ Program Emission Reduction Programme Document, 2017. </w:t>
      </w:r>
    </w:p>
  </w:footnote>
  <w:footnote w:id="114">
    <w:p w14:paraId="1109EA5F" w14:textId="77777777" w:rsidR="009A629F" w:rsidRDefault="009A629F" w:rsidP="001A1FEA">
      <w:pPr>
        <w:pStyle w:val="FootnoteText"/>
      </w:pPr>
      <w:r>
        <w:rPr>
          <w:rStyle w:val="FootnoteReference"/>
        </w:rPr>
        <w:footnoteRef/>
      </w:r>
      <w:r>
        <w:t xml:space="preserve"> </w:t>
      </w:r>
      <w:r w:rsidRPr="009E0BB5">
        <w:t>Timber Operations (Government Participation) Act, 1972 (NRCD 139): Section 8(2), (3) and (4) (2); Forests Protection Act, 1974 (NRCD 243), Section 2; Trees and Timber Act, 1974 (NRCD 273): Section</w:t>
      </w:r>
    </w:p>
  </w:footnote>
  <w:footnote w:id="115">
    <w:p w14:paraId="13E186C5" w14:textId="77777777" w:rsidR="009A629F" w:rsidRPr="00F321FD" w:rsidRDefault="009A629F" w:rsidP="000F3DF0">
      <w:pPr>
        <w:pStyle w:val="FootnoteText"/>
        <w:rPr>
          <w:szCs w:val="16"/>
        </w:rPr>
      </w:pPr>
      <w:r w:rsidRPr="00F321FD">
        <w:rPr>
          <w:rStyle w:val="FootnoteReference"/>
        </w:rPr>
        <w:footnoteRef/>
      </w:r>
      <w:r w:rsidRPr="00F321FD">
        <w:rPr>
          <w:szCs w:val="16"/>
        </w:rPr>
        <w:t xml:space="preserve"> Taking into account the need for sustainable livelihoods of indigenous peoples and local communities and their interdependence on forests in most countries, reflected in the United Nations Declaration on the Rights of Indigenous Peoples, as well as International Mother Earth 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CC4"/>
    <w:multiLevelType w:val="hybridMultilevel"/>
    <w:tmpl w:val="6E66C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B121E"/>
    <w:multiLevelType w:val="hybridMultilevel"/>
    <w:tmpl w:val="831C5A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910EE9"/>
    <w:multiLevelType w:val="hybridMultilevel"/>
    <w:tmpl w:val="3CB0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84B81"/>
    <w:multiLevelType w:val="hybridMultilevel"/>
    <w:tmpl w:val="7056F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0F5C54"/>
    <w:multiLevelType w:val="hybridMultilevel"/>
    <w:tmpl w:val="E6A04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D66E82"/>
    <w:multiLevelType w:val="hybridMultilevel"/>
    <w:tmpl w:val="90BE76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06E21"/>
    <w:multiLevelType w:val="hybridMultilevel"/>
    <w:tmpl w:val="6F429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4F56E4"/>
    <w:multiLevelType w:val="hybridMultilevel"/>
    <w:tmpl w:val="B1B61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617DEF"/>
    <w:multiLevelType w:val="hybridMultilevel"/>
    <w:tmpl w:val="33584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9558E2"/>
    <w:multiLevelType w:val="hybridMultilevel"/>
    <w:tmpl w:val="13C61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216371"/>
    <w:multiLevelType w:val="hybridMultilevel"/>
    <w:tmpl w:val="351A7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2D54FE"/>
    <w:multiLevelType w:val="hybridMultilevel"/>
    <w:tmpl w:val="CB9EE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20516B"/>
    <w:multiLevelType w:val="hybridMultilevel"/>
    <w:tmpl w:val="9FF649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A200F6"/>
    <w:multiLevelType w:val="hybridMultilevel"/>
    <w:tmpl w:val="2DA22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B3568A"/>
    <w:multiLevelType w:val="hybridMultilevel"/>
    <w:tmpl w:val="3AE2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D3791"/>
    <w:multiLevelType w:val="hybridMultilevel"/>
    <w:tmpl w:val="A3940E94"/>
    <w:lvl w:ilvl="0" w:tplc="08090011">
      <w:start w:val="1"/>
      <w:numFmt w:val="decimal"/>
      <w:lvlText w:val="%1)"/>
      <w:lvlJc w:val="left"/>
      <w:pPr>
        <w:ind w:left="720" w:hanging="360"/>
      </w:pPr>
      <w:rPr>
        <w:rFonts w:hint="default"/>
      </w:rPr>
    </w:lvl>
    <w:lvl w:ilvl="1" w:tplc="87F08B1C">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F57E76"/>
    <w:multiLevelType w:val="hybridMultilevel"/>
    <w:tmpl w:val="E56C1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1516C"/>
    <w:multiLevelType w:val="hybridMultilevel"/>
    <w:tmpl w:val="A142DB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FE353D"/>
    <w:multiLevelType w:val="hybridMultilevel"/>
    <w:tmpl w:val="AD926174"/>
    <w:lvl w:ilvl="0" w:tplc="04090017">
      <w:start w:val="1"/>
      <w:numFmt w:val="lowerLetter"/>
      <w:lvlText w:val="%1)"/>
      <w:lvlJc w:val="left"/>
      <w:pPr>
        <w:ind w:left="720" w:hanging="360"/>
      </w:pPr>
      <w:rPr>
        <w:rFonts w:hint="default"/>
      </w:rPr>
    </w:lvl>
    <w:lvl w:ilvl="1" w:tplc="0FD0EE4C">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B02D3F"/>
    <w:multiLevelType w:val="hybridMultilevel"/>
    <w:tmpl w:val="AD7E33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A37556"/>
    <w:multiLevelType w:val="hybridMultilevel"/>
    <w:tmpl w:val="4ACA8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DD135F"/>
    <w:multiLevelType w:val="hybridMultilevel"/>
    <w:tmpl w:val="B15C89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B837C7"/>
    <w:multiLevelType w:val="hybridMultilevel"/>
    <w:tmpl w:val="F5BA9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0539BD"/>
    <w:multiLevelType w:val="hybridMultilevel"/>
    <w:tmpl w:val="193A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3B45BF"/>
    <w:multiLevelType w:val="hybridMultilevel"/>
    <w:tmpl w:val="E8CA4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7E0933"/>
    <w:multiLevelType w:val="hybridMultilevel"/>
    <w:tmpl w:val="36F4A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49B50C3"/>
    <w:multiLevelType w:val="hybridMultilevel"/>
    <w:tmpl w:val="15CA6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1F3359"/>
    <w:multiLevelType w:val="hybridMultilevel"/>
    <w:tmpl w:val="518E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4E3E79"/>
    <w:multiLevelType w:val="hybridMultilevel"/>
    <w:tmpl w:val="F4D89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227766"/>
    <w:multiLevelType w:val="hybridMultilevel"/>
    <w:tmpl w:val="CA20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5D6EB2"/>
    <w:multiLevelType w:val="hybridMultilevel"/>
    <w:tmpl w:val="4FF4A14E"/>
    <w:lvl w:ilvl="0" w:tplc="5074CE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9F09FF"/>
    <w:multiLevelType w:val="hybridMultilevel"/>
    <w:tmpl w:val="6A768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AE2304"/>
    <w:multiLevelType w:val="hybridMultilevel"/>
    <w:tmpl w:val="18D4D9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15B9E"/>
    <w:multiLevelType w:val="hybridMultilevel"/>
    <w:tmpl w:val="195E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F73BB"/>
    <w:multiLevelType w:val="hybridMultilevel"/>
    <w:tmpl w:val="321CD8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1844BD"/>
    <w:multiLevelType w:val="hybridMultilevel"/>
    <w:tmpl w:val="9EE078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84D43"/>
    <w:multiLevelType w:val="hybridMultilevel"/>
    <w:tmpl w:val="3D4CDEB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224F0A"/>
    <w:multiLevelType w:val="hybridMultilevel"/>
    <w:tmpl w:val="FF726B48"/>
    <w:lvl w:ilvl="0" w:tplc="2042F49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095D36"/>
    <w:multiLevelType w:val="hybridMultilevel"/>
    <w:tmpl w:val="6374B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6878A1"/>
    <w:multiLevelType w:val="hybridMultilevel"/>
    <w:tmpl w:val="BE5A3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221D5F"/>
    <w:multiLevelType w:val="hybridMultilevel"/>
    <w:tmpl w:val="A0A8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3D4444"/>
    <w:multiLevelType w:val="hybridMultilevel"/>
    <w:tmpl w:val="D47A07DA"/>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2" w15:restartNumberingAfterBreak="0">
    <w:nsid w:val="77E84D69"/>
    <w:multiLevelType w:val="hybridMultilevel"/>
    <w:tmpl w:val="E29E6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764144"/>
    <w:multiLevelType w:val="hybridMultilevel"/>
    <w:tmpl w:val="D5025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ED174B"/>
    <w:multiLevelType w:val="hybridMultilevel"/>
    <w:tmpl w:val="778CC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0B6792"/>
    <w:multiLevelType w:val="hybridMultilevel"/>
    <w:tmpl w:val="D14CF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F73DCF"/>
    <w:multiLevelType w:val="hybridMultilevel"/>
    <w:tmpl w:val="F0A69CDE"/>
    <w:lvl w:ilvl="0" w:tplc="08090013">
      <w:start w:val="1"/>
      <w:numFmt w:val="upp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30"/>
  </w:num>
  <w:num w:numId="4">
    <w:abstractNumId w:val="12"/>
  </w:num>
  <w:num w:numId="5">
    <w:abstractNumId w:val="15"/>
  </w:num>
  <w:num w:numId="6">
    <w:abstractNumId w:val="29"/>
  </w:num>
  <w:num w:numId="7">
    <w:abstractNumId w:val="16"/>
  </w:num>
  <w:num w:numId="8">
    <w:abstractNumId w:val="46"/>
  </w:num>
  <w:num w:numId="9">
    <w:abstractNumId w:val="22"/>
  </w:num>
  <w:num w:numId="10">
    <w:abstractNumId w:val="33"/>
  </w:num>
  <w:num w:numId="11">
    <w:abstractNumId w:val="17"/>
  </w:num>
  <w:num w:numId="12">
    <w:abstractNumId w:val="36"/>
  </w:num>
  <w:num w:numId="13">
    <w:abstractNumId w:val="2"/>
  </w:num>
  <w:num w:numId="14">
    <w:abstractNumId w:val="27"/>
  </w:num>
  <w:num w:numId="15">
    <w:abstractNumId w:val="39"/>
  </w:num>
  <w:num w:numId="16">
    <w:abstractNumId w:val="34"/>
  </w:num>
  <w:num w:numId="17">
    <w:abstractNumId w:val="37"/>
  </w:num>
  <w:num w:numId="18">
    <w:abstractNumId w:val="40"/>
  </w:num>
  <w:num w:numId="19">
    <w:abstractNumId w:val="32"/>
  </w:num>
  <w:num w:numId="20">
    <w:abstractNumId w:val="35"/>
  </w:num>
  <w:num w:numId="21">
    <w:abstractNumId w:val="14"/>
  </w:num>
  <w:num w:numId="22">
    <w:abstractNumId w:val="5"/>
  </w:num>
  <w:num w:numId="23">
    <w:abstractNumId w:val="4"/>
  </w:num>
  <w:num w:numId="24">
    <w:abstractNumId w:val="41"/>
  </w:num>
  <w:num w:numId="25">
    <w:abstractNumId w:val="44"/>
  </w:num>
  <w:num w:numId="26">
    <w:abstractNumId w:val="11"/>
  </w:num>
  <w:num w:numId="27">
    <w:abstractNumId w:val="38"/>
  </w:num>
  <w:num w:numId="28">
    <w:abstractNumId w:val="45"/>
  </w:num>
  <w:num w:numId="29">
    <w:abstractNumId w:val="7"/>
  </w:num>
  <w:num w:numId="30">
    <w:abstractNumId w:val="25"/>
  </w:num>
  <w:num w:numId="31">
    <w:abstractNumId w:val="24"/>
  </w:num>
  <w:num w:numId="32">
    <w:abstractNumId w:val="9"/>
  </w:num>
  <w:num w:numId="33">
    <w:abstractNumId w:val="3"/>
  </w:num>
  <w:num w:numId="34">
    <w:abstractNumId w:val="31"/>
  </w:num>
  <w:num w:numId="35">
    <w:abstractNumId w:val="20"/>
  </w:num>
  <w:num w:numId="36">
    <w:abstractNumId w:val="26"/>
  </w:num>
  <w:num w:numId="37">
    <w:abstractNumId w:val="0"/>
  </w:num>
  <w:num w:numId="38">
    <w:abstractNumId w:val="8"/>
  </w:num>
  <w:num w:numId="39">
    <w:abstractNumId w:val="10"/>
  </w:num>
  <w:num w:numId="40">
    <w:abstractNumId w:val="43"/>
  </w:num>
  <w:num w:numId="41">
    <w:abstractNumId w:val="42"/>
  </w:num>
  <w:num w:numId="42">
    <w:abstractNumId w:val="6"/>
  </w:num>
  <w:num w:numId="43">
    <w:abstractNumId w:val="13"/>
  </w:num>
  <w:num w:numId="44">
    <w:abstractNumId w:val="28"/>
  </w:num>
  <w:num w:numId="45">
    <w:abstractNumId w:val="1"/>
  </w:num>
  <w:num w:numId="46">
    <w:abstractNumId w:val="21"/>
  </w:num>
  <w:num w:numId="47">
    <w:abstractNumId w:val="1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lma Manan">
    <w15:presenceInfo w15:providerId="Windows Live" w15:userId="3670c9567d9f3d09"/>
  </w15:person>
  <w15:person w15:author="Evans Mensah">
    <w15:presenceInfo w15:providerId="AD" w15:userId="S-1-5-21-2598890346-4204359890-672596081-2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A9"/>
    <w:rsid w:val="0000030B"/>
    <w:rsid w:val="00003654"/>
    <w:rsid w:val="0002437D"/>
    <w:rsid w:val="000360EF"/>
    <w:rsid w:val="00036A7C"/>
    <w:rsid w:val="00037A2F"/>
    <w:rsid w:val="00040426"/>
    <w:rsid w:val="0004051C"/>
    <w:rsid w:val="0004458E"/>
    <w:rsid w:val="000516B3"/>
    <w:rsid w:val="00057F46"/>
    <w:rsid w:val="00065892"/>
    <w:rsid w:val="00065F40"/>
    <w:rsid w:val="000730E2"/>
    <w:rsid w:val="00074841"/>
    <w:rsid w:val="0007733E"/>
    <w:rsid w:val="0008608C"/>
    <w:rsid w:val="00091D0F"/>
    <w:rsid w:val="000A13D5"/>
    <w:rsid w:val="000A2505"/>
    <w:rsid w:val="000A409B"/>
    <w:rsid w:val="000B0F86"/>
    <w:rsid w:val="000C1B8C"/>
    <w:rsid w:val="000D42EE"/>
    <w:rsid w:val="000D7A7B"/>
    <w:rsid w:val="000E1A02"/>
    <w:rsid w:val="000E3B9B"/>
    <w:rsid w:val="000E4A41"/>
    <w:rsid w:val="000F05A0"/>
    <w:rsid w:val="000F0EDF"/>
    <w:rsid w:val="000F2E07"/>
    <w:rsid w:val="000F3DF0"/>
    <w:rsid w:val="000F504A"/>
    <w:rsid w:val="000F517C"/>
    <w:rsid w:val="00110171"/>
    <w:rsid w:val="00111EE4"/>
    <w:rsid w:val="001121BC"/>
    <w:rsid w:val="00120A51"/>
    <w:rsid w:val="00120C78"/>
    <w:rsid w:val="00121827"/>
    <w:rsid w:val="00127314"/>
    <w:rsid w:val="0014080E"/>
    <w:rsid w:val="00140AA7"/>
    <w:rsid w:val="00144601"/>
    <w:rsid w:val="0015057D"/>
    <w:rsid w:val="00154927"/>
    <w:rsid w:val="00165683"/>
    <w:rsid w:val="001712A4"/>
    <w:rsid w:val="00181C16"/>
    <w:rsid w:val="00187861"/>
    <w:rsid w:val="001878B8"/>
    <w:rsid w:val="00190515"/>
    <w:rsid w:val="00197407"/>
    <w:rsid w:val="00197DDD"/>
    <w:rsid w:val="001A1FEA"/>
    <w:rsid w:val="001A4A3A"/>
    <w:rsid w:val="001A5071"/>
    <w:rsid w:val="001A75B2"/>
    <w:rsid w:val="001B4F4B"/>
    <w:rsid w:val="001B7641"/>
    <w:rsid w:val="001B7BA4"/>
    <w:rsid w:val="001C3016"/>
    <w:rsid w:val="001D248E"/>
    <w:rsid w:val="001E18FB"/>
    <w:rsid w:val="001E403F"/>
    <w:rsid w:val="001F00F5"/>
    <w:rsid w:val="001F65EB"/>
    <w:rsid w:val="001F7CF7"/>
    <w:rsid w:val="002010F3"/>
    <w:rsid w:val="002025A3"/>
    <w:rsid w:val="00202BB3"/>
    <w:rsid w:val="002037D3"/>
    <w:rsid w:val="00227B48"/>
    <w:rsid w:val="00232DCE"/>
    <w:rsid w:val="002334FB"/>
    <w:rsid w:val="0025356B"/>
    <w:rsid w:val="00254BD1"/>
    <w:rsid w:val="00265868"/>
    <w:rsid w:val="00271F37"/>
    <w:rsid w:val="002752EB"/>
    <w:rsid w:val="0027793F"/>
    <w:rsid w:val="002861F2"/>
    <w:rsid w:val="00292415"/>
    <w:rsid w:val="002A1C32"/>
    <w:rsid w:val="002A6CB5"/>
    <w:rsid w:val="002B279A"/>
    <w:rsid w:val="002B3540"/>
    <w:rsid w:val="002B3B3B"/>
    <w:rsid w:val="002B4BFE"/>
    <w:rsid w:val="002E6701"/>
    <w:rsid w:val="00307CEE"/>
    <w:rsid w:val="0031303A"/>
    <w:rsid w:val="00316715"/>
    <w:rsid w:val="00317B29"/>
    <w:rsid w:val="00335587"/>
    <w:rsid w:val="00356BDC"/>
    <w:rsid w:val="00357257"/>
    <w:rsid w:val="00363ACA"/>
    <w:rsid w:val="00375108"/>
    <w:rsid w:val="0038209E"/>
    <w:rsid w:val="00382870"/>
    <w:rsid w:val="003837CB"/>
    <w:rsid w:val="00383839"/>
    <w:rsid w:val="00383DDB"/>
    <w:rsid w:val="00392523"/>
    <w:rsid w:val="0039326F"/>
    <w:rsid w:val="00393647"/>
    <w:rsid w:val="003942A8"/>
    <w:rsid w:val="003A23DE"/>
    <w:rsid w:val="003A5B3A"/>
    <w:rsid w:val="003A7F39"/>
    <w:rsid w:val="003B6BF3"/>
    <w:rsid w:val="003C71DF"/>
    <w:rsid w:val="003D0E5E"/>
    <w:rsid w:val="003D223B"/>
    <w:rsid w:val="003D693B"/>
    <w:rsid w:val="003D7530"/>
    <w:rsid w:val="003E2921"/>
    <w:rsid w:val="003F2711"/>
    <w:rsid w:val="0042076D"/>
    <w:rsid w:val="00426907"/>
    <w:rsid w:val="004314C5"/>
    <w:rsid w:val="0043361A"/>
    <w:rsid w:val="00437643"/>
    <w:rsid w:val="00443E6E"/>
    <w:rsid w:val="004473EA"/>
    <w:rsid w:val="0045606F"/>
    <w:rsid w:val="004563BB"/>
    <w:rsid w:val="00457F4D"/>
    <w:rsid w:val="00465387"/>
    <w:rsid w:val="00465416"/>
    <w:rsid w:val="00483E52"/>
    <w:rsid w:val="00484630"/>
    <w:rsid w:val="004A34B0"/>
    <w:rsid w:val="004A6227"/>
    <w:rsid w:val="004B3801"/>
    <w:rsid w:val="004B5E59"/>
    <w:rsid w:val="004C06CC"/>
    <w:rsid w:val="004D1524"/>
    <w:rsid w:val="004D388B"/>
    <w:rsid w:val="004D429F"/>
    <w:rsid w:val="004D539A"/>
    <w:rsid w:val="004D71DC"/>
    <w:rsid w:val="004D76DC"/>
    <w:rsid w:val="004E65C7"/>
    <w:rsid w:val="004E681B"/>
    <w:rsid w:val="004F365E"/>
    <w:rsid w:val="004F3C02"/>
    <w:rsid w:val="004F4F36"/>
    <w:rsid w:val="0050297A"/>
    <w:rsid w:val="00502D0C"/>
    <w:rsid w:val="00513E9F"/>
    <w:rsid w:val="00516169"/>
    <w:rsid w:val="005370F6"/>
    <w:rsid w:val="005413BF"/>
    <w:rsid w:val="00541F14"/>
    <w:rsid w:val="00543356"/>
    <w:rsid w:val="00547AE8"/>
    <w:rsid w:val="00553E1C"/>
    <w:rsid w:val="00555293"/>
    <w:rsid w:val="005651C1"/>
    <w:rsid w:val="005663A0"/>
    <w:rsid w:val="00566B9F"/>
    <w:rsid w:val="0056774D"/>
    <w:rsid w:val="005804E2"/>
    <w:rsid w:val="00581F05"/>
    <w:rsid w:val="00595E8F"/>
    <w:rsid w:val="00596283"/>
    <w:rsid w:val="005A1873"/>
    <w:rsid w:val="005A3505"/>
    <w:rsid w:val="005A5A1C"/>
    <w:rsid w:val="005B7C3E"/>
    <w:rsid w:val="005C051F"/>
    <w:rsid w:val="005D0EDC"/>
    <w:rsid w:val="005D75FF"/>
    <w:rsid w:val="005F0087"/>
    <w:rsid w:val="005F5C66"/>
    <w:rsid w:val="0060064A"/>
    <w:rsid w:val="006008AB"/>
    <w:rsid w:val="00600B33"/>
    <w:rsid w:val="00601325"/>
    <w:rsid w:val="0061605E"/>
    <w:rsid w:val="00621F31"/>
    <w:rsid w:val="00630EA9"/>
    <w:rsid w:val="00633BE9"/>
    <w:rsid w:val="00640C17"/>
    <w:rsid w:val="0065054B"/>
    <w:rsid w:val="00651149"/>
    <w:rsid w:val="0065234E"/>
    <w:rsid w:val="0065709F"/>
    <w:rsid w:val="006660D0"/>
    <w:rsid w:val="00667704"/>
    <w:rsid w:val="006954C3"/>
    <w:rsid w:val="006A13B2"/>
    <w:rsid w:val="006A195C"/>
    <w:rsid w:val="006A41E9"/>
    <w:rsid w:val="006A5D10"/>
    <w:rsid w:val="006B090E"/>
    <w:rsid w:val="006C1A7D"/>
    <w:rsid w:val="006C78C0"/>
    <w:rsid w:val="006D1D35"/>
    <w:rsid w:val="006E00E3"/>
    <w:rsid w:val="006E2E4F"/>
    <w:rsid w:val="006E46BB"/>
    <w:rsid w:val="006E4DFF"/>
    <w:rsid w:val="00713986"/>
    <w:rsid w:val="007162F7"/>
    <w:rsid w:val="00716CFD"/>
    <w:rsid w:val="00721337"/>
    <w:rsid w:val="00726791"/>
    <w:rsid w:val="007314DC"/>
    <w:rsid w:val="007330D8"/>
    <w:rsid w:val="00740A0C"/>
    <w:rsid w:val="0074590B"/>
    <w:rsid w:val="0075455D"/>
    <w:rsid w:val="00771E58"/>
    <w:rsid w:val="00772A4B"/>
    <w:rsid w:val="00775542"/>
    <w:rsid w:val="0078366C"/>
    <w:rsid w:val="0078614A"/>
    <w:rsid w:val="00787FD8"/>
    <w:rsid w:val="007A080B"/>
    <w:rsid w:val="007A0DC7"/>
    <w:rsid w:val="007A45F4"/>
    <w:rsid w:val="007B2CBF"/>
    <w:rsid w:val="007B3306"/>
    <w:rsid w:val="007C016D"/>
    <w:rsid w:val="007C1111"/>
    <w:rsid w:val="007C470C"/>
    <w:rsid w:val="007D6BEA"/>
    <w:rsid w:val="007D7AC2"/>
    <w:rsid w:val="007E4C61"/>
    <w:rsid w:val="007E5A18"/>
    <w:rsid w:val="007E61D2"/>
    <w:rsid w:val="007E6339"/>
    <w:rsid w:val="007F2B2F"/>
    <w:rsid w:val="007F3679"/>
    <w:rsid w:val="007F7906"/>
    <w:rsid w:val="00814565"/>
    <w:rsid w:val="00835569"/>
    <w:rsid w:val="00844754"/>
    <w:rsid w:val="00846E88"/>
    <w:rsid w:val="00847229"/>
    <w:rsid w:val="0086077B"/>
    <w:rsid w:val="00865BFB"/>
    <w:rsid w:val="00866EF3"/>
    <w:rsid w:val="00873C4F"/>
    <w:rsid w:val="008801ED"/>
    <w:rsid w:val="00881F75"/>
    <w:rsid w:val="00885904"/>
    <w:rsid w:val="00885AB5"/>
    <w:rsid w:val="00887101"/>
    <w:rsid w:val="00892499"/>
    <w:rsid w:val="008938D6"/>
    <w:rsid w:val="00895D85"/>
    <w:rsid w:val="00896F40"/>
    <w:rsid w:val="00897FA4"/>
    <w:rsid w:val="008A15B2"/>
    <w:rsid w:val="008A5FDB"/>
    <w:rsid w:val="008A6AE7"/>
    <w:rsid w:val="008A7BEB"/>
    <w:rsid w:val="008B3995"/>
    <w:rsid w:val="008B63FD"/>
    <w:rsid w:val="008D518D"/>
    <w:rsid w:val="008F66A4"/>
    <w:rsid w:val="00912EED"/>
    <w:rsid w:val="0091663D"/>
    <w:rsid w:val="009179BF"/>
    <w:rsid w:val="0092779F"/>
    <w:rsid w:val="009445FA"/>
    <w:rsid w:val="00956859"/>
    <w:rsid w:val="00956C6A"/>
    <w:rsid w:val="009605A9"/>
    <w:rsid w:val="009625CE"/>
    <w:rsid w:val="00963C2D"/>
    <w:rsid w:val="0096518E"/>
    <w:rsid w:val="00971CCD"/>
    <w:rsid w:val="009730B9"/>
    <w:rsid w:val="00973D59"/>
    <w:rsid w:val="009753D9"/>
    <w:rsid w:val="0098237D"/>
    <w:rsid w:val="00982DDC"/>
    <w:rsid w:val="00991494"/>
    <w:rsid w:val="0099283B"/>
    <w:rsid w:val="00992A8C"/>
    <w:rsid w:val="0099577E"/>
    <w:rsid w:val="00996BF0"/>
    <w:rsid w:val="009A3D42"/>
    <w:rsid w:val="009A629F"/>
    <w:rsid w:val="009B06FC"/>
    <w:rsid w:val="009B0C71"/>
    <w:rsid w:val="009B2629"/>
    <w:rsid w:val="009C3864"/>
    <w:rsid w:val="009D19B8"/>
    <w:rsid w:val="009D29F2"/>
    <w:rsid w:val="009D2CE1"/>
    <w:rsid w:val="009D3C70"/>
    <w:rsid w:val="009F2F41"/>
    <w:rsid w:val="009F37A4"/>
    <w:rsid w:val="009F4DCD"/>
    <w:rsid w:val="00A013F6"/>
    <w:rsid w:val="00A058CD"/>
    <w:rsid w:val="00A1019B"/>
    <w:rsid w:val="00A102FE"/>
    <w:rsid w:val="00A104DE"/>
    <w:rsid w:val="00A174B8"/>
    <w:rsid w:val="00A22AA2"/>
    <w:rsid w:val="00A347C6"/>
    <w:rsid w:val="00A360C5"/>
    <w:rsid w:val="00A50D91"/>
    <w:rsid w:val="00A61E07"/>
    <w:rsid w:val="00A71B87"/>
    <w:rsid w:val="00A72FD3"/>
    <w:rsid w:val="00A865E6"/>
    <w:rsid w:val="00AA2B0A"/>
    <w:rsid w:val="00AA53B3"/>
    <w:rsid w:val="00AB177B"/>
    <w:rsid w:val="00AB1AC1"/>
    <w:rsid w:val="00AB26CF"/>
    <w:rsid w:val="00AB55DD"/>
    <w:rsid w:val="00AB6942"/>
    <w:rsid w:val="00AB7386"/>
    <w:rsid w:val="00AE07AE"/>
    <w:rsid w:val="00AE3F32"/>
    <w:rsid w:val="00AF355A"/>
    <w:rsid w:val="00AF56A5"/>
    <w:rsid w:val="00B03DD0"/>
    <w:rsid w:val="00B17943"/>
    <w:rsid w:val="00B20453"/>
    <w:rsid w:val="00B21046"/>
    <w:rsid w:val="00B238C8"/>
    <w:rsid w:val="00B27988"/>
    <w:rsid w:val="00B30E59"/>
    <w:rsid w:val="00B37046"/>
    <w:rsid w:val="00B567B8"/>
    <w:rsid w:val="00B61553"/>
    <w:rsid w:val="00B61EBE"/>
    <w:rsid w:val="00B773E2"/>
    <w:rsid w:val="00B90F25"/>
    <w:rsid w:val="00BA1E6F"/>
    <w:rsid w:val="00BC2D47"/>
    <w:rsid w:val="00BC66A0"/>
    <w:rsid w:val="00BD31DC"/>
    <w:rsid w:val="00BD6CFA"/>
    <w:rsid w:val="00BE0715"/>
    <w:rsid w:val="00BE6A75"/>
    <w:rsid w:val="00BF3C21"/>
    <w:rsid w:val="00BF5E91"/>
    <w:rsid w:val="00C03551"/>
    <w:rsid w:val="00C16574"/>
    <w:rsid w:val="00C21316"/>
    <w:rsid w:val="00C21E92"/>
    <w:rsid w:val="00C2264B"/>
    <w:rsid w:val="00C265C2"/>
    <w:rsid w:val="00C3748F"/>
    <w:rsid w:val="00C401FB"/>
    <w:rsid w:val="00C40D66"/>
    <w:rsid w:val="00C4354E"/>
    <w:rsid w:val="00C86BDD"/>
    <w:rsid w:val="00CA2FC3"/>
    <w:rsid w:val="00CA4C8B"/>
    <w:rsid w:val="00CA6BB7"/>
    <w:rsid w:val="00CB18E0"/>
    <w:rsid w:val="00CC32EA"/>
    <w:rsid w:val="00CD0B8A"/>
    <w:rsid w:val="00CD3E3A"/>
    <w:rsid w:val="00CE5C12"/>
    <w:rsid w:val="00CF6268"/>
    <w:rsid w:val="00D01394"/>
    <w:rsid w:val="00D054F4"/>
    <w:rsid w:val="00D11EB9"/>
    <w:rsid w:val="00D13729"/>
    <w:rsid w:val="00D17E07"/>
    <w:rsid w:val="00D21B64"/>
    <w:rsid w:val="00D238DE"/>
    <w:rsid w:val="00D23CBB"/>
    <w:rsid w:val="00D3653D"/>
    <w:rsid w:val="00D4497A"/>
    <w:rsid w:val="00D5372E"/>
    <w:rsid w:val="00D5504E"/>
    <w:rsid w:val="00D573A8"/>
    <w:rsid w:val="00D62B02"/>
    <w:rsid w:val="00D70456"/>
    <w:rsid w:val="00D75BE8"/>
    <w:rsid w:val="00D75DCF"/>
    <w:rsid w:val="00D946C2"/>
    <w:rsid w:val="00DA23D9"/>
    <w:rsid w:val="00DB05FB"/>
    <w:rsid w:val="00DC167D"/>
    <w:rsid w:val="00DD52B4"/>
    <w:rsid w:val="00DD68B0"/>
    <w:rsid w:val="00DE6256"/>
    <w:rsid w:val="00DF42AC"/>
    <w:rsid w:val="00DF7BE3"/>
    <w:rsid w:val="00DF7DD9"/>
    <w:rsid w:val="00E02090"/>
    <w:rsid w:val="00E11164"/>
    <w:rsid w:val="00E12F22"/>
    <w:rsid w:val="00E13A8A"/>
    <w:rsid w:val="00E20CCB"/>
    <w:rsid w:val="00E2231E"/>
    <w:rsid w:val="00E24001"/>
    <w:rsid w:val="00E30F71"/>
    <w:rsid w:val="00E31B54"/>
    <w:rsid w:val="00E34A02"/>
    <w:rsid w:val="00E364D4"/>
    <w:rsid w:val="00E5032A"/>
    <w:rsid w:val="00E564F7"/>
    <w:rsid w:val="00E6118A"/>
    <w:rsid w:val="00E652A7"/>
    <w:rsid w:val="00E65E43"/>
    <w:rsid w:val="00E7084C"/>
    <w:rsid w:val="00E71001"/>
    <w:rsid w:val="00E77FD6"/>
    <w:rsid w:val="00E941D0"/>
    <w:rsid w:val="00E95EBC"/>
    <w:rsid w:val="00EA5E00"/>
    <w:rsid w:val="00EB2340"/>
    <w:rsid w:val="00EB5B98"/>
    <w:rsid w:val="00EC747B"/>
    <w:rsid w:val="00ED162F"/>
    <w:rsid w:val="00ED1B43"/>
    <w:rsid w:val="00ED70E8"/>
    <w:rsid w:val="00EF3489"/>
    <w:rsid w:val="00F00EA8"/>
    <w:rsid w:val="00F15B24"/>
    <w:rsid w:val="00F21F8F"/>
    <w:rsid w:val="00F26051"/>
    <w:rsid w:val="00F365A3"/>
    <w:rsid w:val="00F41968"/>
    <w:rsid w:val="00F46737"/>
    <w:rsid w:val="00F56052"/>
    <w:rsid w:val="00F576E0"/>
    <w:rsid w:val="00F6184D"/>
    <w:rsid w:val="00F8310C"/>
    <w:rsid w:val="00F95EF3"/>
    <w:rsid w:val="00F96434"/>
    <w:rsid w:val="00FA662E"/>
    <w:rsid w:val="00FF02E9"/>
    <w:rsid w:val="00FF2A2E"/>
    <w:rsid w:val="00FF2BB4"/>
    <w:rsid w:val="00FF329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68492"/>
  <w14:defaultImageDpi w14:val="32767"/>
  <w15:chartTrackingRefBased/>
  <w15:docId w15:val="{2C685F8D-EC3E-4059-BDE0-D6AF3E8F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5A3"/>
    <w:pPr>
      <w:jc w:val="both"/>
    </w:pPr>
    <w:rPr>
      <w:sz w:val="22"/>
    </w:rPr>
  </w:style>
  <w:style w:type="paragraph" w:styleId="Heading1">
    <w:name w:val="heading 1"/>
    <w:basedOn w:val="Normal"/>
    <w:next w:val="Normal"/>
    <w:link w:val="Heading1Char"/>
    <w:uiPriority w:val="9"/>
    <w:qFormat/>
    <w:rsid w:val="00630E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4C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63A0"/>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A865E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F2E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EA9"/>
    <w:rPr>
      <w:rFonts w:asciiTheme="majorHAnsi" w:eastAsiaTheme="majorEastAsia" w:hAnsiTheme="majorHAnsi" w:cstheme="majorBidi"/>
      <w:color w:val="2F5496" w:themeColor="accent1" w:themeShade="BF"/>
      <w:sz w:val="32"/>
      <w:szCs w:val="32"/>
      <w:lang w:val="en-US"/>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CA2FC3"/>
    <w:rPr>
      <w:rFonts w:eastAsiaTheme="minorEastAsia"/>
      <w:sz w:val="16"/>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CA2FC3"/>
    <w:rPr>
      <w:rFonts w:eastAsiaTheme="minorEastAsia"/>
      <w:sz w:val="16"/>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630EA9"/>
    <w:rPr>
      <w:vertAlign w:val="superscript"/>
    </w:rPr>
  </w:style>
  <w:style w:type="paragraph" w:styleId="ListParagraph">
    <w:name w:val="List Paragraph"/>
    <w:aliases w:val="Dot pt,List Paragraph1,Bullets,P‡rrafo de lista,lp1,List Paragraph (numbered (a)),Lapis Bulleted List,WB Para,F5 List Paragraph,List Paragraph Char Char Char,Indicator Text,Numbered Para 1,Bullet 1,List Paragraph12,Bullet Points"/>
    <w:basedOn w:val="Normal"/>
    <w:link w:val="ListParagraphChar"/>
    <w:uiPriority w:val="34"/>
    <w:qFormat/>
    <w:rsid w:val="00630EA9"/>
    <w:pPr>
      <w:ind w:left="720"/>
      <w:contextualSpacing/>
    </w:pPr>
  </w:style>
  <w:style w:type="character" w:styleId="CommentReference">
    <w:name w:val="annotation reference"/>
    <w:basedOn w:val="DefaultParagraphFont"/>
    <w:uiPriority w:val="99"/>
    <w:semiHidden/>
    <w:unhideWhenUsed/>
    <w:rsid w:val="00630EA9"/>
    <w:rPr>
      <w:sz w:val="18"/>
      <w:szCs w:val="18"/>
    </w:rPr>
  </w:style>
  <w:style w:type="paragraph" w:styleId="CommentText">
    <w:name w:val="annotation text"/>
    <w:basedOn w:val="Normal"/>
    <w:link w:val="CommentTextChar"/>
    <w:uiPriority w:val="99"/>
    <w:unhideWhenUsed/>
    <w:rsid w:val="00630EA9"/>
    <w:rPr>
      <w:sz w:val="24"/>
    </w:rPr>
  </w:style>
  <w:style w:type="character" w:customStyle="1" w:styleId="CommentTextChar">
    <w:name w:val="Comment Text Char"/>
    <w:basedOn w:val="DefaultParagraphFont"/>
    <w:link w:val="CommentText"/>
    <w:uiPriority w:val="99"/>
    <w:rsid w:val="00630EA9"/>
    <w:rPr>
      <w:lang w:val="en-US"/>
    </w:rPr>
  </w:style>
  <w:style w:type="character" w:customStyle="1" w:styleId="ListParagraphChar">
    <w:name w:val="List Paragraph Char"/>
    <w:aliases w:val="Dot pt Char,List Paragraph1 Char,Bullets Char,P‡rrafo de lista Char,lp1 Char,List Paragraph (numbered (a)) Char,Lapis Bulleted List Char,WB Para Char,F5 List Paragraph Char,List Paragraph Char Char Char Char,Indicator Text Char"/>
    <w:basedOn w:val="DefaultParagraphFont"/>
    <w:link w:val="ListParagraph"/>
    <w:uiPriority w:val="34"/>
    <w:rsid w:val="00630EA9"/>
    <w:rPr>
      <w:sz w:val="22"/>
      <w:lang w:val="en-US"/>
    </w:rPr>
  </w:style>
  <w:style w:type="paragraph" w:styleId="BalloonText">
    <w:name w:val="Balloon Text"/>
    <w:basedOn w:val="Normal"/>
    <w:link w:val="BalloonTextChar"/>
    <w:uiPriority w:val="99"/>
    <w:semiHidden/>
    <w:unhideWhenUsed/>
    <w:rsid w:val="00630E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EA9"/>
    <w:rPr>
      <w:rFonts w:ascii="Times New Roman" w:hAnsi="Times New Roman" w:cs="Times New Roman"/>
      <w:sz w:val="18"/>
      <w:szCs w:val="18"/>
      <w:lang w:val="en-US"/>
    </w:rPr>
  </w:style>
  <w:style w:type="paragraph" w:styleId="CommentSubject">
    <w:name w:val="annotation subject"/>
    <w:basedOn w:val="CommentText"/>
    <w:next w:val="CommentText"/>
    <w:link w:val="CommentSubjectChar"/>
    <w:uiPriority w:val="99"/>
    <w:semiHidden/>
    <w:unhideWhenUsed/>
    <w:rsid w:val="00F15B24"/>
    <w:rPr>
      <w:b/>
      <w:bCs/>
      <w:sz w:val="20"/>
      <w:szCs w:val="20"/>
    </w:rPr>
  </w:style>
  <w:style w:type="character" w:customStyle="1" w:styleId="CommentSubjectChar">
    <w:name w:val="Comment Subject Char"/>
    <w:basedOn w:val="CommentTextChar"/>
    <w:link w:val="CommentSubject"/>
    <w:uiPriority w:val="99"/>
    <w:semiHidden/>
    <w:rsid w:val="00F15B24"/>
    <w:rPr>
      <w:b/>
      <w:bCs/>
      <w:sz w:val="20"/>
      <w:szCs w:val="20"/>
      <w:lang w:val="en-US"/>
    </w:rPr>
  </w:style>
  <w:style w:type="paragraph" w:styleId="Revision">
    <w:name w:val="Revision"/>
    <w:hidden/>
    <w:uiPriority w:val="99"/>
    <w:semiHidden/>
    <w:rsid w:val="00E564F7"/>
    <w:rPr>
      <w:sz w:val="22"/>
      <w:lang w:val="en-US"/>
    </w:rPr>
  </w:style>
  <w:style w:type="paragraph" w:styleId="Title">
    <w:name w:val="Title"/>
    <w:basedOn w:val="Normal"/>
    <w:next w:val="Normal"/>
    <w:link w:val="TitleChar"/>
    <w:uiPriority w:val="10"/>
    <w:qFormat/>
    <w:rsid w:val="003925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523"/>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CA4C8B"/>
    <w:rPr>
      <w:color w:val="0563C1" w:themeColor="hyperlink"/>
      <w:u w:val="single"/>
    </w:rPr>
  </w:style>
  <w:style w:type="character" w:customStyle="1" w:styleId="Heading2Char">
    <w:name w:val="Heading 2 Char"/>
    <w:basedOn w:val="DefaultParagraphFont"/>
    <w:link w:val="Heading2"/>
    <w:uiPriority w:val="9"/>
    <w:rsid w:val="00CA4C8B"/>
    <w:rPr>
      <w:rFonts w:asciiTheme="majorHAnsi" w:eastAsiaTheme="majorEastAsia" w:hAnsiTheme="majorHAnsi" w:cstheme="majorBidi"/>
      <w:color w:val="2F5496" w:themeColor="accent1" w:themeShade="BF"/>
      <w:sz w:val="26"/>
      <w:szCs w:val="26"/>
      <w:lang w:val="en-US"/>
    </w:rPr>
  </w:style>
  <w:style w:type="paragraph" w:styleId="TOCHeading">
    <w:name w:val="TOC Heading"/>
    <w:basedOn w:val="Heading1"/>
    <w:next w:val="Normal"/>
    <w:uiPriority w:val="39"/>
    <w:unhideWhenUsed/>
    <w:qFormat/>
    <w:rsid w:val="0075455D"/>
    <w:pPr>
      <w:spacing w:before="480" w:line="276" w:lineRule="auto"/>
      <w:outlineLvl w:val="9"/>
    </w:pPr>
    <w:rPr>
      <w:b/>
      <w:bCs/>
      <w:sz w:val="28"/>
      <w:szCs w:val="28"/>
    </w:rPr>
  </w:style>
  <w:style w:type="paragraph" w:styleId="TOC1">
    <w:name w:val="toc 1"/>
    <w:basedOn w:val="Normal"/>
    <w:next w:val="Normal"/>
    <w:autoRedefine/>
    <w:uiPriority w:val="39"/>
    <w:unhideWhenUsed/>
    <w:rsid w:val="0075455D"/>
    <w:pPr>
      <w:spacing w:before="120"/>
    </w:pPr>
    <w:rPr>
      <w:b/>
      <w:bCs/>
      <w:i/>
      <w:iCs/>
      <w:sz w:val="24"/>
    </w:rPr>
  </w:style>
  <w:style w:type="paragraph" w:styleId="TOC2">
    <w:name w:val="toc 2"/>
    <w:basedOn w:val="Normal"/>
    <w:next w:val="Normal"/>
    <w:autoRedefine/>
    <w:uiPriority w:val="39"/>
    <w:unhideWhenUsed/>
    <w:rsid w:val="0075455D"/>
    <w:pPr>
      <w:spacing w:before="120"/>
      <w:ind w:left="220"/>
    </w:pPr>
    <w:rPr>
      <w:b/>
      <w:bCs/>
      <w:szCs w:val="22"/>
    </w:rPr>
  </w:style>
  <w:style w:type="paragraph" w:styleId="TOC3">
    <w:name w:val="toc 3"/>
    <w:basedOn w:val="Normal"/>
    <w:next w:val="Normal"/>
    <w:autoRedefine/>
    <w:uiPriority w:val="39"/>
    <w:unhideWhenUsed/>
    <w:rsid w:val="0075455D"/>
    <w:pPr>
      <w:ind w:left="440"/>
    </w:pPr>
    <w:rPr>
      <w:sz w:val="20"/>
      <w:szCs w:val="20"/>
    </w:rPr>
  </w:style>
  <w:style w:type="paragraph" w:styleId="TOC4">
    <w:name w:val="toc 4"/>
    <w:basedOn w:val="Normal"/>
    <w:next w:val="Normal"/>
    <w:autoRedefine/>
    <w:uiPriority w:val="39"/>
    <w:semiHidden/>
    <w:unhideWhenUsed/>
    <w:rsid w:val="0075455D"/>
    <w:pPr>
      <w:ind w:left="660"/>
    </w:pPr>
    <w:rPr>
      <w:sz w:val="20"/>
      <w:szCs w:val="20"/>
    </w:rPr>
  </w:style>
  <w:style w:type="paragraph" w:styleId="TOC5">
    <w:name w:val="toc 5"/>
    <w:basedOn w:val="Normal"/>
    <w:next w:val="Normal"/>
    <w:autoRedefine/>
    <w:uiPriority w:val="39"/>
    <w:semiHidden/>
    <w:unhideWhenUsed/>
    <w:rsid w:val="0075455D"/>
    <w:pPr>
      <w:ind w:left="880"/>
    </w:pPr>
    <w:rPr>
      <w:sz w:val="20"/>
      <w:szCs w:val="20"/>
    </w:rPr>
  </w:style>
  <w:style w:type="paragraph" w:styleId="TOC6">
    <w:name w:val="toc 6"/>
    <w:basedOn w:val="Normal"/>
    <w:next w:val="Normal"/>
    <w:autoRedefine/>
    <w:uiPriority w:val="39"/>
    <w:semiHidden/>
    <w:unhideWhenUsed/>
    <w:rsid w:val="0075455D"/>
    <w:pPr>
      <w:ind w:left="1100"/>
    </w:pPr>
    <w:rPr>
      <w:sz w:val="20"/>
      <w:szCs w:val="20"/>
    </w:rPr>
  </w:style>
  <w:style w:type="paragraph" w:styleId="TOC7">
    <w:name w:val="toc 7"/>
    <w:basedOn w:val="Normal"/>
    <w:next w:val="Normal"/>
    <w:autoRedefine/>
    <w:uiPriority w:val="39"/>
    <w:semiHidden/>
    <w:unhideWhenUsed/>
    <w:rsid w:val="0075455D"/>
    <w:pPr>
      <w:ind w:left="1320"/>
    </w:pPr>
    <w:rPr>
      <w:sz w:val="20"/>
      <w:szCs w:val="20"/>
    </w:rPr>
  </w:style>
  <w:style w:type="paragraph" w:styleId="TOC8">
    <w:name w:val="toc 8"/>
    <w:basedOn w:val="Normal"/>
    <w:next w:val="Normal"/>
    <w:autoRedefine/>
    <w:uiPriority w:val="39"/>
    <w:semiHidden/>
    <w:unhideWhenUsed/>
    <w:rsid w:val="0075455D"/>
    <w:pPr>
      <w:ind w:left="1540"/>
    </w:pPr>
    <w:rPr>
      <w:sz w:val="20"/>
      <w:szCs w:val="20"/>
    </w:rPr>
  </w:style>
  <w:style w:type="paragraph" w:styleId="TOC9">
    <w:name w:val="toc 9"/>
    <w:basedOn w:val="Normal"/>
    <w:next w:val="Normal"/>
    <w:autoRedefine/>
    <w:uiPriority w:val="39"/>
    <w:semiHidden/>
    <w:unhideWhenUsed/>
    <w:rsid w:val="0075455D"/>
    <w:pPr>
      <w:ind w:left="1760"/>
    </w:pPr>
    <w:rPr>
      <w:sz w:val="20"/>
      <w:szCs w:val="20"/>
    </w:rPr>
  </w:style>
  <w:style w:type="paragraph" w:styleId="Footer">
    <w:name w:val="footer"/>
    <w:basedOn w:val="Normal"/>
    <w:link w:val="FooterChar"/>
    <w:uiPriority w:val="99"/>
    <w:unhideWhenUsed/>
    <w:rsid w:val="001A4A3A"/>
    <w:pPr>
      <w:tabs>
        <w:tab w:val="center" w:pos="4513"/>
        <w:tab w:val="right" w:pos="9026"/>
      </w:tabs>
    </w:pPr>
  </w:style>
  <w:style w:type="character" w:customStyle="1" w:styleId="FooterChar">
    <w:name w:val="Footer Char"/>
    <w:basedOn w:val="DefaultParagraphFont"/>
    <w:link w:val="Footer"/>
    <w:uiPriority w:val="99"/>
    <w:rsid w:val="001A4A3A"/>
    <w:rPr>
      <w:sz w:val="22"/>
      <w:lang w:val="en-US"/>
    </w:rPr>
  </w:style>
  <w:style w:type="character" w:styleId="PageNumber">
    <w:name w:val="page number"/>
    <w:basedOn w:val="DefaultParagraphFont"/>
    <w:uiPriority w:val="99"/>
    <w:semiHidden/>
    <w:unhideWhenUsed/>
    <w:rsid w:val="001A4A3A"/>
  </w:style>
  <w:style w:type="character" w:customStyle="1" w:styleId="UnresolvedMention1">
    <w:name w:val="Unresolved Mention1"/>
    <w:basedOn w:val="DefaultParagraphFont"/>
    <w:uiPriority w:val="99"/>
    <w:semiHidden/>
    <w:unhideWhenUsed/>
    <w:rsid w:val="00382870"/>
    <w:rPr>
      <w:color w:val="605E5C"/>
      <w:shd w:val="clear" w:color="auto" w:fill="E1DFDD"/>
    </w:rPr>
  </w:style>
  <w:style w:type="character" w:customStyle="1" w:styleId="Heading3Char">
    <w:name w:val="Heading 3 Char"/>
    <w:basedOn w:val="DefaultParagraphFont"/>
    <w:link w:val="Heading3"/>
    <w:uiPriority w:val="9"/>
    <w:rsid w:val="005663A0"/>
    <w:rPr>
      <w:rFonts w:asciiTheme="majorHAnsi" w:eastAsiaTheme="majorEastAsia" w:hAnsiTheme="majorHAnsi" w:cstheme="majorBidi"/>
      <w:color w:val="1F3763" w:themeColor="accent1" w:themeShade="7F"/>
      <w:lang w:val="en-US"/>
    </w:rPr>
  </w:style>
  <w:style w:type="paragraph" w:customStyle="1" w:styleId="texto">
    <w:name w:val="texto"/>
    <w:basedOn w:val="Normal"/>
    <w:rsid w:val="005663A0"/>
    <w:pPr>
      <w:spacing w:after="101" w:line="216" w:lineRule="atLeast"/>
      <w:ind w:firstLine="288"/>
    </w:pPr>
    <w:rPr>
      <w:rFonts w:ascii="Arial" w:eastAsia="Times New Roman" w:hAnsi="Arial" w:cs="Arial"/>
      <w:sz w:val="18"/>
      <w:szCs w:val="20"/>
      <w:lang w:val="es-ES_tradnl" w:eastAsia="es-MX"/>
    </w:rPr>
  </w:style>
  <w:style w:type="character" w:customStyle="1" w:styleId="MediumShading1-Accent1Char">
    <w:name w:val="Medium Shading 1 - Accent 1 Char"/>
    <w:link w:val="MediumShading1-Accent1"/>
    <w:uiPriority w:val="1"/>
    <w:rsid w:val="005663A0"/>
    <w:rPr>
      <w:rFonts w:ascii="Times New Roman" w:hAnsi="Times New Roman"/>
      <w:sz w:val="28"/>
      <w:szCs w:val="28"/>
    </w:rPr>
  </w:style>
  <w:style w:type="character" w:customStyle="1" w:styleId="apple-converted-space">
    <w:name w:val="apple-converted-space"/>
    <w:rsid w:val="005663A0"/>
  </w:style>
  <w:style w:type="table" w:styleId="MediumShading1-Accent1">
    <w:name w:val="Medium Shading 1 Accent 1"/>
    <w:basedOn w:val="TableNormal"/>
    <w:link w:val="MediumShading1-Accent1Char"/>
    <w:uiPriority w:val="1"/>
    <w:semiHidden/>
    <w:unhideWhenUsed/>
    <w:rsid w:val="005663A0"/>
    <w:rPr>
      <w:rFonts w:ascii="Times New Roman" w:hAnsi="Times New Roman"/>
      <w:sz w:val="28"/>
      <w:szCs w:val="2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uiPriority w:val="9"/>
    <w:rsid w:val="00A865E6"/>
    <w:rPr>
      <w:rFonts w:asciiTheme="majorHAnsi" w:eastAsiaTheme="majorEastAsia" w:hAnsiTheme="majorHAnsi" w:cstheme="majorBidi"/>
      <w:i/>
      <w:iCs/>
      <w:color w:val="2F5496" w:themeColor="accent1" w:themeShade="BF"/>
      <w:sz w:val="22"/>
      <w:lang w:val="en-US"/>
    </w:rPr>
  </w:style>
  <w:style w:type="character" w:customStyle="1" w:styleId="Heading5Char">
    <w:name w:val="Heading 5 Char"/>
    <w:basedOn w:val="DefaultParagraphFont"/>
    <w:link w:val="Heading5"/>
    <w:uiPriority w:val="9"/>
    <w:rsid w:val="000F2E07"/>
    <w:rPr>
      <w:rFonts w:asciiTheme="majorHAnsi" w:eastAsiaTheme="majorEastAsia" w:hAnsiTheme="majorHAnsi" w:cstheme="majorBidi"/>
      <w:color w:val="2F5496" w:themeColor="accent1" w:themeShade="BF"/>
      <w:sz w:val="22"/>
      <w:lang w:val="en-US"/>
    </w:rPr>
  </w:style>
  <w:style w:type="paragraph" w:styleId="NoSpacing">
    <w:name w:val="No Spacing"/>
    <w:basedOn w:val="Normal"/>
    <w:link w:val="NoSpacingChar"/>
    <w:uiPriority w:val="1"/>
    <w:qFormat/>
    <w:rsid w:val="004D539A"/>
    <w:pPr>
      <w:jc w:val="left"/>
    </w:pPr>
    <w:rPr>
      <w:rFonts w:asciiTheme="majorHAnsi" w:eastAsiaTheme="majorEastAsia" w:hAnsiTheme="majorHAnsi" w:cstheme="majorBidi"/>
      <w:szCs w:val="22"/>
    </w:rPr>
  </w:style>
  <w:style w:type="character" w:customStyle="1" w:styleId="NoSpacingChar">
    <w:name w:val="No Spacing Char"/>
    <w:basedOn w:val="DefaultParagraphFont"/>
    <w:link w:val="NoSpacing"/>
    <w:uiPriority w:val="1"/>
    <w:rsid w:val="004D539A"/>
    <w:rPr>
      <w:rFonts w:asciiTheme="majorHAnsi" w:eastAsiaTheme="majorEastAsia" w:hAnsiTheme="majorHAnsi" w:cstheme="majorBidi"/>
      <w:sz w:val="22"/>
      <w:szCs w:val="22"/>
      <w:lang w:val="en-US"/>
    </w:rPr>
  </w:style>
  <w:style w:type="paragraph" w:customStyle="1" w:styleId="Listavistosa-nfasis11">
    <w:name w:val="Lista vistosa - Énfasis 11"/>
    <w:basedOn w:val="Normal"/>
    <w:link w:val="Listavistosa-nfasis1Car"/>
    <w:uiPriority w:val="34"/>
    <w:qFormat/>
    <w:rsid w:val="00BD31DC"/>
    <w:pPr>
      <w:spacing w:after="200" w:line="252" w:lineRule="auto"/>
      <w:ind w:left="720"/>
      <w:contextualSpacing/>
      <w:jc w:val="left"/>
    </w:pPr>
    <w:rPr>
      <w:rFonts w:asciiTheme="majorHAnsi" w:eastAsiaTheme="majorEastAsia" w:hAnsiTheme="majorHAnsi" w:cstheme="majorBidi"/>
      <w:szCs w:val="22"/>
      <w:lang w:val="en-US"/>
    </w:rPr>
  </w:style>
  <w:style w:type="character" w:customStyle="1" w:styleId="Listavistosa-nfasis1Car">
    <w:name w:val="Lista vistosa - Énfasis 1 Car"/>
    <w:link w:val="Listavistosa-nfasis11"/>
    <w:uiPriority w:val="34"/>
    <w:rsid w:val="00BD31DC"/>
    <w:rPr>
      <w:rFonts w:asciiTheme="majorHAnsi" w:eastAsiaTheme="majorEastAsia" w:hAnsiTheme="majorHAnsi" w:cstheme="majorBidi"/>
      <w:sz w:val="22"/>
      <w:szCs w:val="22"/>
      <w:lang w:val="en-US"/>
    </w:rPr>
  </w:style>
  <w:style w:type="numbering" w:customStyle="1" w:styleId="NoList1">
    <w:name w:val="No List1"/>
    <w:next w:val="NoList"/>
    <w:uiPriority w:val="99"/>
    <w:semiHidden/>
    <w:unhideWhenUsed/>
    <w:rsid w:val="00D75BE8"/>
  </w:style>
  <w:style w:type="paragraph" w:customStyle="1" w:styleId="NoSpacing1">
    <w:name w:val="No Spacing1"/>
    <w:basedOn w:val="Normal"/>
    <w:next w:val="NoSpacing"/>
    <w:uiPriority w:val="1"/>
    <w:qFormat/>
    <w:rsid w:val="00D75BE8"/>
    <w:pPr>
      <w:jc w:val="left"/>
    </w:pPr>
    <w:rPr>
      <w:rFonts w:ascii="Calibri Light" w:eastAsia="MS Gothic" w:hAnsi="Calibri Light" w:cs="Times New Roman"/>
      <w:szCs w:val="22"/>
      <w:lang w:val="en-US"/>
    </w:rPr>
  </w:style>
  <w:style w:type="paragraph" w:customStyle="1" w:styleId="paragraph">
    <w:name w:val="paragraph"/>
    <w:basedOn w:val="Normal"/>
    <w:rsid w:val="00D75BE8"/>
    <w:pPr>
      <w:spacing w:before="100" w:beforeAutospacing="1" w:after="100" w:afterAutospacing="1"/>
      <w:jc w:val="left"/>
    </w:pPr>
    <w:rPr>
      <w:rFonts w:ascii="Times New Roman" w:eastAsia="MS Mincho" w:hAnsi="Times New Roman" w:cs="Times New Roman"/>
      <w:sz w:val="24"/>
      <w:lang w:val="en-US"/>
    </w:rPr>
  </w:style>
  <w:style w:type="character" w:customStyle="1" w:styleId="normaltextrun">
    <w:name w:val="normaltextrun"/>
    <w:rsid w:val="00D75BE8"/>
  </w:style>
  <w:style w:type="character" w:customStyle="1" w:styleId="eop">
    <w:name w:val="eop"/>
    <w:rsid w:val="00D75BE8"/>
  </w:style>
  <w:style w:type="paragraph" w:styleId="Header">
    <w:name w:val="header"/>
    <w:basedOn w:val="Normal"/>
    <w:link w:val="HeaderChar"/>
    <w:uiPriority w:val="99"/>
    <w:unhideWhenUsed/>
    <w:rsid w:val="009625CE"/>
    <w:pPr>
      <w:tabs>
        <w:tab w:val="center" w:pos="4536"/>
        <w:tab w:val="right" w:pos="9072"/>
      </w:tabs>
    </w:pPr>
  </w:style>
  <w:style w:type="character" w:customStyle="1" w:styleId="HeaderChar">
    <w:name w:val="Header Char"/>
    <w:basedOn w:val="DefaultParagraphFont"/>
    <w:link w:val="Header"/>
    <w:uiPriority w:val="99"/>
    <w:rsid w:val="009625CE"/>
    <w:rPr>
      <w:sz w:val="22"/>
    </w:rPr>
  </w:style>
  <w:style w:type="table" w:styleId="TableGrid">
    <w:name w:val="Table Grid"/>
    <w:basedOn w:val="TableNormal"/>
    <w:uiPriority w:val="39"/>
    <w:rsid w:val="000F3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redd.net/index.php?view=document&amp;alias=15299-info-brief-summaries-of-information-1-en&amp;category_slug=safeguards-multiple-benefits-297&amp;layout=default&amp;option=com_docman&amp;Itemid=134" TargetMode="External"/><Relationship Id="rId1" Type="http://schemas.openxmlformats.org/officeDocument/2006/relationships/hyperlink" Target="https://www.fcghana.org/userfiles/files/REDD%2B/Ghana%20REDD%2B%20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AFCB8-C8E1-4C43-8CB1-260A98F9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14505</Words>
  <Characters>82685</Characters>
  <Application>Microsoft Office Word</Application>
  <DocSecurity>0</DocSecurity>
  <Lines>689</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Korwin</dc:creator>
  <cp:keywords/>
  <dc:description/>
  <cp:lastModifiedBy>Hilma Manan</cp:lastModifiedBy>
  <cp:revision>2</cp:revision>
  <cp:lastPrinted>2019-03-25T14:25:00Z</cp:lastPrinted>
  <dcterms:created xsi:type="dcterms:W3CDTF">2019-04-25T16:24:00Z</dcterms:created>
  <dcterms:modified xsi:type="dcterms:W3CDTF">2019-04-25T16:24:00Z</dcterms:modified>
</cp:coreProperties>
</file>